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73" w:rsidRPr="00174F75" w:rsidRDefault="00E604CB" w:rsidP="00112873">
      <w:pPr>
        <w:jc w:val="center"/>
        <w:rPr>
          <w:b/>
          <w:lang w:val="it-IT"/>
        </w:rPr>
      </w:pPr>
      <w:r>
        <w:rPr>
          <w:b/>
          <w:lang w:val="it-IT"/>
        </w:rPr>
        <w:t>Le donne</w:t>
      </w:r>
      <w:bookmarkStart w:id="0" w:name="_GoBack"/>
      <w:bookmarkEnd w:id="0"/>
      <w:r w:rsidR="00112873" w:rsidRPr="00174F75">
        <w:rPr>
          <w:b/>
          <w:lang w:val="it-IT"/>
        </w:rPr>
        <w:t xml:space="preserve"> nella società fascista</w:t>
      </w:r>
      <w:r w:rsidR="00174F75">
        <w:rPr>
          <w:rStyle w:val="FootnoteReference"/>
          <w:b/>
          <w:lang w:val="it-IT"/>
        </w:rPr>
        <w:footnoteReference w:id="1"/>
      </w:r>
    </w:p>
    <w:p w:rsidR="00112873" w:rsidRPr="00112873" w:rsidRDefault="00112873" w:rsidP="00174F75">
      <w:pPr>
        <w:jc w:val="both"/>
        <w:rPr>
          <w:lang w:val="it-IT"/>
        </w:rPr>
      </w:pPr>
      <w:r w:rsidRPr="00112873">
        <w:rPr>
          <w:lang w:val="it-IT"/>
        </w:rPr>
        <w:t>Per consolidare il proprio regime, Mussolini adott</w:t>
      </w:r>
      <w:r w:rsidR="003929D6">
        <w:rPr>
          <w:lang w:val="it-IT"/>
        </w:rPr>
        <w:t xml:space="preserve">ò una politica anti-femminista e </w:t>
      </w:r>
      <w:r w:rsidRPr="00112873">
        <w:rPr>
          <w:lang w:val="it-IT"/>
        </w:rPr>
        <w:t>impose alla donna l'esc</w:t>
      </w:r>
      <w:r w:rsidR="003929D6">
        <w:rPr>
          <w:lang w:val="it-IT"/>
        </w:rPr>
        <w:t>lusivo ruolo di madre-casalinga</w:t>
      </w:r>
      <w:r>
        <w:rPr>
          <w:lang w:val="it-IT"/>
        </w:rPr>
        <w:t>.</w:t>
      </w:r>
      <w:r w:rsidR="003929D6">
        <w:rPr>
          <w:lang w:val="it-IT"/>
        </w:rPr>
        <w:t xml:space="preserve"> </w:t>
      </w:r>
      <w:r w:rsidRPr="00112873">
        <w:rPr>
          <w:lang w:val="it-IT"/>
        </w:rPr>
        <w:t>Le donne</w:t>
      </w:r>
      <w:r w:rsidR="00174F75">
        <w:rPr>
          <w:lang w:val="it-IT"/>
        </w:rPr>
        <w:t xml:space="preserve"> </w:t>
      </w:r>
      <w:r w:rsidRPr="00112873">
        <w:rPr>
          <w:lang w:val="it-IT"/>
        </w:rPr>
        <w:t xml:space="preserve">furono </w:t>
      </w:r>
      <w:r w:rsidR="00231F86">
        <w:rPr>
          <w:lang w:val="it-IT"/>
        </w:rPr>
        <w:t>escluse da tutto ciò</w:t>
      </w:r>
      <w:r w:rsidRPr="00112873">
        <w:rPr>
          <w:lang w:val="it-IT"/>
        </w:rPr>
        <w:t xml:space="preserve"> che aveva attinenza con la sfera pubblica</w:t>
      </w:r>
      <w:r>
        <w:rPr>
          <w:lang w:val="it-IT"/>
        </w:rPr>
        <w:t>.</w:t>
      </w:r>
      <w:r w:rsidRPr="00112873">
        <w:rPr>
          <w:lang w:val="it-IT"/>
        </w:rPr>
        <w:t xml:space="preserve"> </w:t>
      </w:r>
      <w:r>
        <w:rPr>
          <w:lang w:val="it-IT"/>
        </w:rPr>
        <w:t>O</w:t>
      </w:r>
      <w:r w:rsidRPr="00112873">
        <w:rPr>
          <w:lang w:val="it-IT"/>
        </w:rPr>
        <w:t>gni aspetto della vita delle donne fu subordinato agli interessi dello Stato, al punto da negare</w:t>
      </w:r>
      <w:r w:rsidR="00231F86">
        <w:rPr>
          <w:lang w:val="it-IT"/>
        </w:rPr>
        <w:t xml:space="preserve"> </w:t>
      </w:r>
      <w:r w:rsidRPr="00112873">
        <w:rPr>
          <w:lang w:val="it-IT"/>
        </w:rPr>
        <w:t>ogni fo</w:t>
      </w:r>
      <w:r>
        <w:rPr>
          <w:lang w:val="it-IT"/>
        </w:rPr>
        <w:t>rma di emancipazione femminile.</w:t>
      </w:r>
    </w:p>
    <w:p w:rsidR="00112873" w:rsidRPr="00112873" w:rsidRDefault="00112873" w:rsidP="00112873">
      <w:pPr>
        <w:jc w:val="both"/>
        <w:rPr>
          <w:lang w:val="it-IT"/>
        </w:rPr>
      </w:pPr>
      <w:r w:rsidRPr="00112873">
        <w:rPr>
          <w:lang w:val="it-IT"/>
        </w:rPr>
        <w:t>Allo scopo di incrementare le nascite, lo Stato fascista vietò l'uso di anticoncezionali e il ricorso all'aborto, nonché qualsias</w:t>
      </w:r>
      <w:r w:rsidR="003929D6">
        <w:rPr>
          <w:lang w:val="it-IT"/>
        </w:rPr>
        <w:t xml:space="preserve">i forma di educazione sessuale. </w:t>
      </w:r>
      <w:r w:rsidRPr="00112873">
        <w:rPr>
          <w:lang w:val="it-IT"/>
        </w:rPr>
        <w:t>Anche la Chiesa esaltò il ruolo della maternità e dei valori della famiglia, contrapponendoli alla modernità, po</w:t>
      </w:r>
      <w:r>
        <w:rPr>
          <w:lang w:val="it-IT"/>
        </w:rPr>
        <w:t>rtatrice di corruzione dei costumi.</w:t>
      </w:r>
      <w:r w:rsidR="003929D6" w:rsidRPr="003929D6">
        <w:rPr>
          <w:lang w:val="it-IT"/>
        </w:rPr>
        <w:t xml:space="preserve"> </w:t>
      </w:r>
      <w:r w:rsidR="003929D6">
        <w:rPr>
          <w:lang w:val="it-IT"/>
        </w:rPr>
        <w:t xml:space="preserve"> I</w:t>
      </w:r>
      <w:r w:rsidR="003929D6" w:rsidRPr="00112873">
        <w:rPr>
          <w:lang w:val="it-IT"/>
        </w:rPr>
        <w:t>n un manuale di igiene, divulgato dal r</w:t>
      </w:r>
      <w:r w:rsidR="003929D6">
        <w:rPr>
          <w:lang w:val="it-IT"/>
        </w:rPr>
        <w:t>egime alla fine degli anni '30</w:t>
      </w:r>
      <w:r w:rsidR="003929D6" w:rsidRPr="003929D6">
        <w:rPr>
          <w:lang w:val="it-IT"/>
        </w:rPr>
        <w:t xml:space="preserve"> </w:t>
      </w:r>
      <w:r w:rsidR="003929D6" w:rsidRPr="00112873">
        <w:rPr>
          <w:lang w:val="it-IT"/>
        </w:rPr>
        <w:t>si legge</w:t>
      </w:r>
      <w:r w:rsidR="003929D6">
        <w:rPr>
          <w:lang w:val="it-IT"/>
        </w:rPr>
        <w:t xml:space="preserve">: </w:t>
      </w:r>
      <w:r w:rsidR="003929D6" w:rsidRPr="00112873">
        <w:rPr>
          <w:lang w:val="it-IT"/>
        </w:rPr>
        <w:t xml:space="preserve">"Lo scopo della </w:t>
      </w:r>
      <w:r w:rsidR="00E604CB">
        <w:rPr>
          <w:lang w:val="it-IT"/>
        </w:rPr>
        <w:t>vita di ogni donna è il figlio</w:t>
      </w:r>
      <w:r w:rsidR="003929D6" w:rsidRPr="00112873">
        <w:rPr>
          <w:lang w:val="it-IT"/>
        </w:rPr>
        <w:t xml:space="preserve">". </w:t>
      </w:r>
    </w:p>
    <w:p w:rsidR="00155C34" w:rsidRDefault="00112873" w:rsidP="00E604CB">
      <w:pPr>
        <w:jc w:val="both"/>
        <w:rPr>
          <w:lang w:val="it-IT"/>
        </w:rPr>
      </w:pPr>
      <w:r w:rsidRPr="00112873">
        <w:rPr>
          <w:lang w:val="it-IT"/>
        </w:rPr>
        <w:t>La funzione procreativa femminile, come si è preannunciato, determinò un progressivo allontanamento de</w:t>
      </w:r>
      <w:r>
        <w:rPr>
          <w:lang w:val="it-IT"/>
        </w:rPr>
        <w:t xml:space="preserve">lla donna dalla sfera pubblica. </w:t>
      </w:r>
      <w:r w:rsidRPr="00112873">
        <w:rPr>
          <w:lang w:val="it-IT"/>
        </w:rPr>
        <w:t xml:space="preserve">La riforma Gentile </w:t>
      </w:r>
      <w:r>
        <w:rPr>
          <w:lang w:val="it-IT"/>
        </w:rPr>
        <w:t xml:space="preserve">della scuola </w:t>
      </w:r>
      <w:r w:rsidR="00174F75">
        <w:rPr>
          <w:lang w:val="it-IT"/>
        </w:rPr>
        <w:t xml:space="preserve">(1922-3) </w:t>
      </w:r>
      <w:r w:rsidRPr="00112873">
        <w:rPr>
          <w:lang w:val="it-IT"/>
        </w:rPr>
        <w:t>era "dichiaratamente anti-femminile</w:t>
      </w:r>
      <w:r w:rsidR="00174F75">
        <w:rPr>
          <w:lang w:val="it-IT"/>
        </w:rPr>
        <w:t>.  P</w:t>
      </w:r>
      <w:r w:rsidRPr="00112873">
        <w:rPr>
          <w:lang w:val="it-IT"/>
        </w:rPr>
        <w:t>er essere pregiata, rispettata, esaltata, la donna doveva accettare e non tentare di negare</w:t>
      </w:r>
      <w:r>
        <w:rPr>
          <w:lang w:val="it-IT"/>
        </w:rPr>
        <w:t xml:space="preserve"> i limiti della sua diversità"</w:t>
      </w:r>
      <w:r w:rsidR="00174F75">
        <w:rPr>
          <w:rStyle w:val="FootnoteReference"/>
          <w:lang w:val="it-IT"/>
        </w:rPr>
        <w:footnoteReference w:id="2"/>
      </w:r>
      <w:r>
        <w:rPr>
          <w:lang w:val="it-IT"/>
        </w:rPr>
        <w:t xml:space="preserve">. </w:t>
      </w:r>
      <w:r w:rsidRPr="00112873">
        <w:rPr>
          <w:lang w:val="it-IT"/>
        </w:rPr>
        <w:t>Negando alla donna qualsiasi capacità come educa</w:t>
      </w:r>
      <w:r w:rsidR="00174F75">
        <w:rPr>
          <w:lang w:val="it-IT"/>
        </w:rPr>
        <w:t xml:space="preserve">trice, la riforma della scuola </w:t>
      </w:r>
      <w:r w:rsidRPr="00112873">
        <w:rPr>
          <w:lang w:val="it-IT"/>
        </w:rPr>
        <w:t>produsse una vera e propria defeminil</w:t>
      </w:r>
      <w:r>
        <w:rPr>
          <w:lang w:val="it-IT"/>
        </w:rPr>
        <w:t>izzazione del corpo insegnante.</w:t>
      </w:r>
      <w:r w:rsidR="00E15C1B">
        <w:rPr>
          <w:lang w:val="it-IT"/>
        </w:rPr>
        <w:t xml:space="preserve"> </w:t>
      </w:r>
      <w:r w:rsidRPr="00112873">
        <w:rPr>
          <w:lang w:val="it-IT"/>
        </w:rPr>
        <w:t>L'insegnamento di molte materie fu precluso alle donne: esse non poterono accedere ai concorsi pubblici per insegnare nei licei lettere, latino, greco, storia e filosofia o per insegnare i</w:t>
      </w:r>
      <w:r w:rsidR="00174F75">
        <w:rPr>
          <w:lang w:val="it-IT"/>
        </w:rPr>
        <w:t xml:space="preserve">taliano negli istituti tecnici. </w:t>
      </w:r>
      <w:r w:rsidRPr="00112873">
        <w:rPr>
          <w:lang w:val="it-IT"/>
        </w:rPr>
        <w:t>Un Decreto Legge del</w:t>
      </w:r>
      <w:r w:rsidR="00174F75">
        <w:rPr>
          <w:lang w:val="it-IT"/>
        </w:rPr>
        <w:t xml:space="preserve"> </w:t>
      </w:r>
      <w:r w:rsidRPr="00112873">
        <w:rPr>
          <w:lang w:val="it-IT"/>
        </w:rPr>
        <w:t xml:space="preserve">1938, infine imponendo una riduzione al 5% del personale femminile, impiegato nella Pubblica Amministrazione, rappresentò il culmine </w:t>
      </w:r>
      <w:r>
        <w:rPr>
          <w:lang w:val="it-IT"/>
        </w:rPr>
        <w:t>della discriminazione sessuale.</w:t>
      </w:r>
    </w:p>
    <w:p w:rsidR="003929D6" w:rsidRPr="00E15C1B" w:rsidRDefault="00E604CB" w:rsidP="00112873">
      <w:pPr>
        <w:rPr>
          <w:b/>
          <w:i/>
          <w:lang w:val="it-IT"/>
        </w:rPr>
      </w:pPr>
      <w:r>
        <w:rPr>
          <w:b/>
          <w:i/>
          <w:lang w:val="it-IT"/>
        </w:rPr>
        <w:t>A</w:t>
      </w:r>
      <w:r>
        <w:rPr>
          <w:b/>
          <w:i/>
          <w:lang w:val="it-IT"/>
        </w:rPr>
        <w:tab/>
      </w:r>
      <w:r w:rsidR="003929D6" w:rsidRPr="00E15C1B">
        <w:rPr>
          <w:b/>
          <w:i/>
          <w:lang w:val="it-IT"/>
        </w:rPr>
        <w:t>Leggete il testo e r</w:t>
      </w:r>
      <w:r w:rsidR="00E15C1B">
        <w:rPr>
          <w:b/>
          <w:i/>
          <w:lang w:val="it-IT"/>
        </w:rPr>
        <w:t>ispondete alle seg</w:t>
      </w:r>
      <w:r w:rsidR="003929D6" w:rsidRPr="00E15C1B">
        <w:rPr>
          <w:b/>
          <w:i/>
          <w:lang w:val="it-IT"/>
        </w:rPr>
        <w:t>uenti domande</w:t>
      </w:r>
      <w:r w:rsidR="00E15C1B" w:rsidRPr="00E15C1B">
        <w:rPr>
          <w:b/>
          <w:i/>
          <w:lang w:val="it-IT"/>
        </w:rPr>
        <w:t xml:space="preserve"> </w:t>
      </w:r>
      <w:r w:rsidR="003929D6" w:rsidRPr="00E15C1B">
        <w:rPr>
          <w:b/>
          <w:i/>
          <w:lang w:val="it-IT"/>
        </w:rPr>
        <w:t>:</w:t>
      </w:r>
    </w:p>
    <w:p w:rsidR="003929D6" w:rsidRPr="00E15C1B" w:rsidRDefault="003929D6" w:rsidP="00E15C1B">
      <w:pPr>
        <w:pStyle w:val="ListParagraph"/>
        <w:numPr>
          <w:ilvl w:val="0"/>
          <w:numId w:val="1"/>
        </w:numPr>
        <w:rPr>
          <w:lang w:val="it-IT"/>
        </w:rPr>
      </w:pPr>
      <w:r w:rsidRPr="00E15C1B">
        <w:rPr>
          <w:lang w:val="it-IT"/>
        </w:rPr>
        <w:t>Che cosa voleva Mussolini che facesse la donna italiana?</w:t>
      </w:r>
    </w:p>
    <w:p w:rsidR="003929D6" w:rsidRPr="00E15C1B" w:rsidRDefault="003929D6" w:rsidP="00E15C1B">
      <w:pPr>
        <w:pStyle w:val="ListParagraph"/>
        <w:numPr>
          <w:ilvl w:val="0"/>
          <w:numId w:val="1"/>
        </w:numPr>
        <w:rPr>
          <w:lang w:val="it-IT"/>
        </w:rPr>
      </w:pPr>
      <w:r w:rsidRPr="00E15C1B">
        <w:rPr>
          <w:lang w:val="it-IT"/>
        </w:rPr>
        <w:t>Perché non c’è stata alcuna emancipazione della donna sotto il fascismo?</w:t>
      </w:r>
    </w:p>
    <w:p w:rsidR="003929D6" w:rsidRPr="00E15C1B" w:rsidRDefault="003929D6" w:rsidP="00E15C1B">
      <w:pPr>
        <w:pStyle w:val="ListParagraph"/>
        <w:numPr>
          <w:ilvl w:val="0"/>
          <w:numId w:val="1"/>
        </w:numPr>
        <w:rPr>
          <w:lang w:val="it-IT"/>
        </w:rPr>
      </w:pPr>
      <w:r w:rsidRPr="00E15C1B">
        <w:rPr>
          <w:lang w:val="it-IT"/>
        </w:rPr>
        <w:t>La Chiesa</w:t>
      </w:r>
      <w:r w:rsidRPr="00E15C1B">
        <w:rPr>
          <w:lang w:val="it-IT"/>
        </w:rPr>
        <w:t>, in che senso era d’accordo con la poltica fascista</w:t>
      </w:r>
      <w:r w:rsidR="00E15C1B" w:rsidRPr="00E15C1B">
        <w:rPr>
          <w:lang w:val="it-IT"/>
        </w:rPr>
        <w:t>?</w:t>
      </w:r>
    </w:p>
    <w:p w:rsidR="00E15C1B" w:rsidRDefault="00E15C1B" w:rsidP="00E15C1B">
      <w:pPr>
        <w:pStyle w:val="ListParagraph"/>
        <w:numPr>
          <w:ilvl w:val="0"/>
          <w:numId w:val="1"/>
        </w:numPr>
        <w:rPr>
          <w:lang w:val="it-IT"/>
        </w:rPr>
      </w:pPr>
      <w:r w:rsidRPr="00E15C1B">
        <w:rPr>
          <w:lang w:val="it-IT"/>
        </w:rPr>
        <w:t xml:space="preserve">Le </w:t>
      </w:r>
      <w:r w:rsidRPr="00E15C1B">
        <w:rPr>
          <w:lang w:val="it-IT"/>
        </w:rPr>
        <w:t>donne</w:t>
      </w:r>
      <w:r w:rsidRPr="00E15C1B">
        <w:rPr>
          <w:lang w:val="it-IT"/>
        </w:rPr>
        <w:t xml:space="preserve">, che cosa non potevano fare </w:t>
      </w:r>
      <w:r w:rsidR="006A7705">
        <w:rPr>
          <w:lang w:val="it-IT"/>
        </w:rPr>
        <w:t>dopo</w:t>
      </w:r>
      <w:r w:rsidRPr="00E15C1B">
        <w:rPr>
          <w:lang w:val="it-IT"/>
        </w:rPr>
        <w:t xml:space="preserve"> la riforma Gentile?</w:t>
      </w:r>
    </w:p>
    <w:p w:rsidR="00E15C1B" w:rsidRPr="00E604CB" w:rsidRDefault="006A7705" w:rsidP="0011287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 è stato l’effetto del decreto legge del 1938?</w:t>
      </w:r>
    </w:p>
    <w:p w:rsidR="003929D6" w:rsidRPr="006A7705" w:rsidRDefault="00E604CB" w:rsidP="00112873">
      <w:pPr>
        <w:rPr>
          <w:b/>
          <w:i/>
          <w:lang w:val="it-IT"/>
        </w:rPr>
      </w:pPr>
      <w:r>
        <w:rPr>
          <w:b/>
          <w:i/>
          <w:lang w:val="it-IT"/>
        </w:rPr>
        <w:t>B</w:t>
      </w:r>
      <w:r>
        <w:rPr>
          <w:b/>
          <w:i/>
          <w:lang w:val="it-IT"/>
        </w:rPr>
        <w:tab/>
      </w:r>
      <w:r w:rsidR="00231F86" w:rsidRPr="006A7705">
        <w:rPr>
          <w:b/>
          <w:i/>
          <w:lang w:val="it-IT"/>
        </w:rPr>
        <w:t>Trova come si dice in italiano:</w:t>
      </w:r>
    </w:p>
    <w:p w:rsidR="006A7705" w:rsidRPr="00E604CB" w:rsidRDefault="006A7705" w:rsidP="006A7705">
      <w:pPr>
        <w:pStyle w:val="NoSpacing"/>
        <w:numPr>
          <w:ilvl w:val="0"/>
          <w:numId w:val="2"/>
        </w:numPr>
        <w:spacing w:line="276" w:lineRule="auto"/>
        <w:rPr>
          <w:lang w:val="it-IT"/>
        </w:rPr>
        <w:sectPr w:rsidR="006A7705" w:rsidRPr="00E604CB" w:rsidSect="00E604CB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231F86" w:rsidRDefault="00231F86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lastRenderedPageBreak/>
        <w:t>everything</w:t>
      </w:r>
      <w:proofErr w:type="gramEnd"/>
      <w:r w:rsidRPr="00231F86">
        <w:t xml:space="preserve"> </w:t>
      </w:r>
      <w:r>
        <w:t>(</w:t>
      </w:r>
      <w:r w:rsidRPr="00231F86">
        <w:t>that had</w:t>
      </w:r>
      <w:r>
        <w:t>)</w:t>
      </w:r>
      <w:r w:rsidRPr="00231F86">
        <w:t xml:space="preserve"> to do with ......</w:t>
      </w:r>
    </w:p>
    <w:p w:rsidR="00231F86" w:rsidRDefault="00231F86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t>to</w:t>
      </w:r>
      <w:proofErr w:type="gramEnd"/>
      <w:r>
        <w:t xml:space="preserve"> the extent of …….</w:t>
      </w:r>
    </w:p>
    <w:p w:rsidR="00231F86" w:rsidRDefault="00231F86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t>in</w:t>
      </w:r>
      <w:proofErr w:type="gramEnd"/>
      <w:r>
        <w:t xml:space="preserve"> order to …..</w:t>
      </w:r>
    </w:p>
    <w:p w:rsidR="00231F86" w:rsidRDefault="00231F86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t>not</w:t>
      </w:r>
      <w:proofErr w:type="gramEnd"/>
      <w:r>
        <w:t xml:space="preserve"> to mention any ……</w:t>
      </w:r>
    </w:p>
    <w:p w:rsidR="00231F86" w:rsidRDefault="00231F86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t>contrasting</w:t>
      </w:r>
      <w:proofErr w:type="gramEnd"/>
      <w:r>
        <w:t xml:space="preserve"> them to ….</w:t>
      </w:r>
    </w:p>
    <w:p w:rsidR="006A7705" w:rsidRDefault="006A7705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lastRenderedPageBreak/>
        <w:t>as</w:t>
      </w:r>
      <w:proofErr w:type="gramEnd"/>
      <w:r>
        <w:t xml:space="preserve"> has been said before ….</w:t>
      </w:r>
    </w:p>
    <w:p w:rsidR="006A7705" w:rsidRDefault="006A7705" w:rsidP="006A7705">
      <w:pPr>
        <w:pStyle w:val="NoSpacing"/>
        <w:numPr>
          <w:ilvl w:val="0"/>
          <w:numId w:val="2"/>
        </w:numPr>
        <w:spacing w:line="276" w:lineRule="auto"/>
      </w:pPr>
      <w:r>
        <w:t>In order to be (valued) …</w:t>
      </w:r>
    </w:p>
    <w:p w:rsidR="006A7705" w:rsidRDefault="006A7705" w:rsidP="006A7705">
      <w:pPr>
        <w:pStyle w:val="NoSpacing"/>
        <w:numPr>
          <w:ilvl w:val="0"/>
          <w:numId w:val="2"/>
        </w:numPr>
        <w:spacing w:line="276" w:lineRule="auto"/>
      </w:pPr>
      <w:proofErr w:type="gramStart"/>
      <w:r>
        <w:t>was</w:t>
      </w:r>
      <w:proofErr w:type="gramEnd"/>
      <w:r>
        <w:t xml:space="preserve"> barred to …..</w:t>
      </w:r>
    </w:p>
    <w:p w:rsidR="006A7705" w:rsidRDefault="006A7705" w:rsidP="006A7705">
      <w:pPr>
        <w:pStyle w:val="NoSpacing"/>
        <w:numPr>
          <w:ilvl w:val="0"/>
          <w:numId w:val="2"/>
        </w:numPr>
        <w:spacing w:line="276" w:lineRule="auto"/>
      </w:pPr>
      <w:proofErr w:type="spellStart"/>
      <w:proofErr w:type="gramStart"/>
      <w:r>
        <w:t>were</w:t>
      </w:r>
      <w:proofErr w:type="spellEnd"/>
      <w:proofErr w:type="gramEnd"/>
      <w:r>
        <w:t xml:space="preserve"> not able to access ……</w:t>
      </w:r>
    </w:p>
    <w:p w:rsidR="006A7705" w:rsidRDefault="006A7705" w:rsidP="00112873">
      <w:pPr>
        <w:pStyle w:val="NoSpacing"/>
        <w:numPr>
          <w:ilvl w:val="0"/>
          <w:numId w:val="2"/>
        </w:numPr>
        <w:spacing w:line="276" w:lineRule="auto"/>
        <w:sectPr w:rsidR="006A7705" w:rsidSect="00E604CB">
          <w:type w:val="continuous"/>
          <w:pgSz w:w="11906" w:h="16838"/>
          <w:pgMar w:top="1440" w:right="1440" w:bottom="1276" w:left="1440" w:header="708" w:footer="708" w:gutter="0"/>
          <w:cols w:num="2" w:space="708"/>
          <w:docGrid w:linePitch="360"/>
        </w:sectPr>
      </w:pPr>
      <w:proofErr w:type="gramStart"/>
      <w:r>
        <w:t>the</w:t>
      </w:r>
      <w:proofErr w:type="gramEnd"/>
      <w:r>
        <w:t xml:space="preserve"> height of ….</w:t>
      </w:r>
    </w:p>
    <w:p w:rsidR="00E604CB" w:rsidRDefault="00E604CB" w:rsidP="00112873"/>
    <w:p w:rsidR="006A7705" w:rsidRPr="00E604CB" w:rsidRDefault="00E604CB" w:rsidP="00112873">
      <w:pPr>
        <w:rPr>
          <w:b/>
          <w:i/>
          <w:lang w:val="it-IT"/>
        </w:rPr>
      </w:pPr>
      <w:r>
        <w:rPr>
          <w:b/>
          <w:i/>
          <w:lang w:val="it-IT"/>
        </w:rPr>
        <w:t>C</w:t>
      </w:r>
      <w:r>
        <w:rPr>
          <w:b/>
          <w:i/>
          <w:lang w:val="it-IT"/>
        </w:rPr>
        <w:tab/>
      </w:r>
      <w:r w:rsidR="006A7705" w:rsidRPr="00E604CB">
        <w:rPr>
          <w:b/>
          <w:i/>
          <w:lang w:val="it-IT"/>
        </w:rPr>
        <w:t xml:space="preserve">Trova nel dizionario il significato e </w:t>
      </w:r>
      <w:r w:rsidRPr="00E604CB">
        <w:rPr>
          <w:b/>
          <w:i/>
          <w:lang w:val="it-IT"/>
        </w:rPr>
        <w:t xml:space="preserve">almeno </w:t>
      </w:r>
      <w:r w:rsidR="006A7705" w:rsidRPr="00E604CB">
        <w:rPr>
          <w:b/>
          <w:i/>
          <w:lang w:val="it-IT"/>
        </w:rPr>
        <w:t>un sinonimo di questi verbi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04CB" w:rsidRPr="00E604CB" w:rsidTr="00E604CB">
        <w:tc>
          <w:tcPr>
            <w:tcW w:w="3005" w:type="dxa"/>
          </w:tcPr>
          <w:p w:rsidR="00E604CB" w:rsidRPr="00E604CB" w:rsidRDefault="00E604CB" w:rsidP="00E604CB">
            <w:pPr>
              <w:jc w:val="center"/>
              <w:rPr>
                <w:b/>
                <w:lang w:val="it-IT"/>
              </w:rPr>
            </w:pPr>
            <w:r w:rsidRPr="00E604CB">
              <w:rPr>
                <w:b/>
                <w:lang w:val="it-IT"/>
              </w:rPr>
              <w:t>verbo</w:t>
            </w:r>
          </w:p>
        </w:tc>
        <w:tc>
          <w:tcPr>
            <w:tcW w:w="3005" w:type="dxa"/>
          </w:tcPr>
          <w:p w:rsidR="00E604CB" w:rsidRPr="00E604CB" w:rsidRDefault="00E604CB" w:rsidP="00E604CB">
            <w:pPr>
              <w:jc w:val="center"/>
              <w:rPr>
                <w:b/>
                <w:lang w:val="it-IT"/>
              </w:rPr>
            </w:pPr>
            <w:r w:rsidRPr="00E604CB">
              <w:rPr>
                <w:b/>
                <w:lang w:val="it-IT"/>
              </w:rPr>
              <w:t>inglese</w:t>
            </w:r>
          </w:p>
        </w:tc>
        <w:tc>
          <w:tcPr>
            <w:tcW w:w="3006" w:type="dxa"/>
          </w:tcPr>
          <w:p w:rsidR="00E604CB" w:rsidRPr="00E604CB" w:rsidRDefault="00E604CB" w:rsidP="00E604CB">
            <w:pPr>
              <w:jc w:val="center"/>
              <w:rPr>
                <w:b/>
                <w:lang w:val="it-IT"/>
              </w:rPr>
            </w:pPr>
            <w:r w:rsidRPr="00E604CB">
              <w:rPr>
                <w:b/>
                <w:lang w:val="it-IT"/>
              </w:rPr>
              <w:t>sinonimi</w:t>
            </w:r>
          </w:p>
        </w:tc>
      </w:tr>
      <w:tr w:rsidR="00E604CB" w:rsidTr="00E604CB">
        <w:tc>
          <w:tcPr>
            <w:tcW w:w="3005" w:type="dxa"/>
          </w:tcPr>
          <w:p w:rsidR="00E604CB" w:rsidRDefault="00E604CB" w:rsidP="00112873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>
              <w:rPr>
                <w:lang w:val="it-IT"/>
              </w:rPr>
              <w:t>ons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lidare</w:t>
            </w:r>
          </w:p>
        </w:tc>
        <w:tc>
          <w:tcPr>
            <w:tcW w:w="3005" w:type="dxa"/>
          </w:tcPr>
          <w:p w:rsidR="00E604CB" w:rsidRPr="00E604CB" w:rsidRDefault="00E604CB" w:rsidP="00112873">
            <w:pPr>
              <w:rPr>
                <w:i/>
                <w:lang w:val="it-IT"/>
              </w:rPr>
            </w:pPr>
            <w:r w:rsidRPr="00E604CB">
              <w:rPr>
                <w:i/>
                <w:lang w:val="it-IT"/>
              </w:rPr>
              <w:t>to consolidate</w:t>
            </w:r>
          </w:p>
        </w:tc>
        <w:tc>
          <w:tcPr>
            <w:tcW w:w="3006" w:type="dxa"/>
          </w:tcPr>
          <w:p w:rsidR="00E604CB" w:rsidRPr="00E604CB" w:rsidRDefault="00E604CB" w:rsidP="00112873">
            <w:pPr>
              <w:rPr>
                <w:i/>
                <w:lang w:val="it-IT"/>
              </w:rPr>
            </w:pPr>
            <w:r w:rsidRPr="00E604CB">
              <w:rPr>
                <w:i/>
                <w:lang w:val="it-IT"/>
              </w:rPr>
              <w:t>Rinforzare / rinforzare</w:t>
            </w:r>
          </w:p>
        </w:tc>
      </w:tr>
      <w:tr w:rsidR="00E604CB" w:rsidTr="00E604CB">
        <w:tc>
          <w:tcPr>
            <w:tcW w:w="3005" w:type="dxa"/>
          </w:tcPr>
          <w:p w:rsidR="00E604CB" w:rsidRDefault="00E604CB" w:rsidP="00112873">
            <w:pPr>
              <w:rPr>
                <w:lang w:val="it-IT"/>
              </w:rPr>
            </w:pPr>
            <w:r w:rsidRPr="00112873">
              <w:rPr>
                <w:lang w:val="it-IT"/>
              </w:rPr>
              <w:t>incrementare</w:t>
            </w:r>
          </w:p>
        </w:tc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</w:p>
        </w:tc>
        <w:tc>
          <w:tcPr>
            <w:tcW w:w="3006" w:type="dxa"/>
          </w:tcPr>
          <w:p w:rsidR="00E604CB" w:rsidRDefault="00E604CB" w:rsidP="00112873">
            <w:pPr>
              <w:rPr>
                <w:lang w:val="it-IT"/>
              </w:rPr>
            </w:pPr>
          </w:p>
        </w:tc>
      </w:tr>
      <w:tr w:rsidR="00E604CB" w:rsidTr="00E604CB">
        <w:tc>
          <w:tcPr>
            <w:tcW w:w="3005" w:type="dxa"/>
          </w:tcPr>
          <w:p w:rsidR="00E604CB" w:rsidRPr="00112873" w:rsidRDefault="00E604CB" w:rsidP="00E604CB">
            <w:pPr>
              <w:rPr>
                <w:lang w:val="it-IT"/>
              </w:rPr>
            </w:pPr>
            <w:r>
              <w:rPr>
                <w:lang w:val="it-IT"/>
              </w:rPr>
              <w:t>esaltare</w:t>
            </w:r>
          </w:p>
        </w:tc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</w:p>
        </w:tc>
        <w:tc>
          <w:tcPr>
            <w:tcW w:w="3006" w:type="dxa"/>
          </w:tcPr>
          <w:p w:rsidR="00E604CB" w:rsidRDefault="00E604CB" w:rsidP="00112873">
            <w:pPr>
              <w:rPr>
                <w:lang w:val="it-IT"/>
              </w:rPr>
            </w:pPr>
          </w:p>
        </w:tc>
      </w:tr>
      <w:tr w:rsidR="00E604CB" w:rsidTr="00E604CB">
        <w:tc>
          <w:tcPr>
            <w:tcW w:w="3005" w:type="dxa"/>
          </w:tcPr>
          <w:p w:rsidR="00E604CB" w:rsidRPr="00112873" w:rsidRDefault="00E604CB" w:rsidP="00E604CB">
            <w:pPr>
              <w:rPr>
                <w:lang w:val="it-IT"/>
              </w:rPr>
            </w:pPr>
            <w:r>
              <w:rPr>
                <w:lang w:val="it-IT"/>
              </w:rPr>
              <w:t>divulgare</w:t>
            </w:r>
          </w:p>
        </w:tc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</w:p>
        </w:tc>
        <w:tc>
          <w:tcPr>
            <w:tcW w:w="3006" w:type="dxa"/>
          </w:tcPr>
          <w:p w:rsidR="00E604CB" w:rsidRDefault="00E604CB" w:rsidP="00112873">
            <w:pPr>
              <w:rPr>
                <w:lang w:val="it-IT"/>
              </w:rPr>
            </w:pPr>
          </w:p>
        </w:tc>
      </w:tr>
      <w:tr w:rsidR="00E604CB" w:rsidTr="00E604CB">
        <w:tc>
          <w:tcPr>
            <w:tcW w:w="3005" w:type="dxa"/>
          </w:tcPr>
          <w:p w:rsidR="00E604CB" w:rsidRPr="00112873" w:rsidRDefault="00E604CB" w:rsidP="00E604CB">
            <w:pPr>
              <w:rPr>
                <w:lang w:val="it-IT"/>
              </w:rPr>
            </w:pPr>
            <w:r>
              <w:rPr>
                <w:lang w:val="it-IT"/>
              </w:rPr>
              <w:t>tentare di</w:t>
            </w:r>
          </w:p>
        </w:tc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</w:p>
        </w:tc>
        <w:tc>
          <w:tcPr>
            <w:tcW w:w="3006" w:type="dxa"/>
          </w:tcPr>
          <w:p w:rsidR="00E604CB" w:rsidRDefault="00E604CB" w:rsidP="00112873">
            <w:pPr>
              <w:rPr>
                <w:lang w:val="it-IT"/>
              </w:rPr>
            </w:pPr>
          </w:p>
        </w:tc>
      </w:tr>
      <w:tr w:rsidR="00E604CB" w:rsidTr="00E604CB"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  <w:r>
              <w:rPr>
                <w:lang w:val="it-IT"/>
              </w:rPr>
              <w:t>accedere a</w:t>
            </w:r>
          </w:p>
        </w:tc>
        <w:tc>
          <w:tcPr>
            <w:tcW w:w="3005" w:type="dxa"/>
          </w:tcPr>
          <w:p w:rsidR="00E604CB" w:rsidRDefault="00E604CB" w:rsidP="00E604CB">
            <w:pPr>
              <w:rPr>
                <w:lang w:val="it-IT"/>
              </w:rPr>
            </w:pPr>
          </w:p>
        </w:tc>
        <w:tc>
          <w:tcPr>
            <w:tcW w:w="3006" w:type="dxa"/>
          </w:tcPr>
          <w:p w:rsidR="00E604CB" w:rsidRDefault="00E604CB" w:rsidP="00112873">
            <w:pPr>
              <w:rPr>
                <w:lang w:val="it-IT"/>
              </w:rPr>
            </w:pPr>
          </w:p>
        </w:tc>
      </w:tr>
    </w:tbl>
    <w:p w:rsidR="003929D6" w:rsidRPr="00231F86" w:rsidRDefault="003929D6" w:rsidP="00112873"/>
    <w:sectPr w:rsidR="003929D6" w:rsidRPr="00231F86" w:rsidSect="006A77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75" w:rsidRDefault="00174F75" w:rsidP="00174F75">
      <w:pPr>
        <w:spacing w:after="0" w:line="240" w:lineRule="auto"/>
      </w:pPr>
      <w:r>
        <w:separator/>
      </w:r>
    </w:p>
  </w:endnote>
  <w:endnote w:type="continuationSeparator" w:id="0">
    <w:p w:rsidR="00174F75" w:rsidRDefault="00174F75" w:rsidP="0017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75" w:rsidRDefault="00174F75" w:rsidP="00174F75">
      <w:pPr>
        <w:spacing w:after="0" w:line="240" w:lineRule="auto"/>
      </w:pPr>
      <w:r>
        <w:separator/>
      </w:r>
    </w:p>
  </w:footnote>
  <w:footnote w:type="continuationSeparator" w:id="0">
    <w:p w:rsidR="00174F75" w:rsidRDefault="00174F75" w:rsidP="00174F75">
      <w:pPr>
        <w:spacing w:after="0" w:line="240" w:lineRule="auto"/>
      </w:pPr>
      <w:r>
        <w:continuationSeparator/>
      </w:r>
    </w:p>
  </w:footnote>
  <w:footnote w:id="1">
    <w:p w:rsidR="00174F75" w:rsidRPr="00174F75" w:rsidRDefault="00174F75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174F75">
        <w:rPr>
          <w:lang w:val="it-IT"/>
        </w:rPr>
        <w:t xml:space="preserve"> Adattato  da: </w:t>
      </w:r>
      <w:hyperlink r:id="rId1" w:history="1">
        <w:r w:rsidRPr="00593D88">
          <w:rPr>
            <w:rStyle w:val="Hyperlink"/>
            <w:lang w:val="it-IT"/>
          </w:rPr>
          <w:t>http://www.storiaxxisecolo.it/Resistenza/resistenzadonne1.htm</w:t>
        </w:r>
      </w:hyperlink>
      <w:r>
        <w:rPr>
          <w:lang w:val="it-IT"/>
        </w:rPr>
        <w:t xml:space="preserve"> </w:t>
      </w:r>
    </w:p>
  </w:footnote>
  <w:footnote w:id="2">
    <w:p w:rsidR="00174F75" w:rsidRPr="00174F75" w:rsidRDefault="00174F75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174F75">
        <w:rPr>
          <w:lang w:val="it-IT"/>
        </w:rPr>
        <w:t xml:space="preserve"> </w:t>
      </w:r>
      <w:r w:rsidRPr="00112873">
        <w:rPr>
          <w:lang w:val="it-IT"/>
        </w:rPr>
        <w:t xml:space="preserve">Victoria De Grazia </w:t>
      </w:r>
      <w:r>
        <w:rPr>
          <w:lang w:val="it-IT"/>
        </w:rPr>
        <w:t>. Le donne del regime fascista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3F8F"/>
    <w:multiLevelType w:val="hybridMultilevel"/>
    <w:tmpl w:val="338E5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374B"/>
    <w:multiLevelType w:val="hybridMultilevel"/>
    <w:tmpl w:val="D1A2B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3"/>
    <w:rsid w:val="00112873"/>
    <w:rsid w:val="00155C34"/>
    <w:rsid w:val="00174F75"/>
    <w:rsid w:val="00231F86"/>
    <w:rsid w:val="003929D6"/>
    <w:rsid w:val="006A7705"/>
    <w:rsid w:val="0070375E"/>
    <w:rsid w:val="00727AE5"/>
    <w:rsid w:val="00E15C1B"/>
    <w:rsid w:val="00E23C29"/>
    <w:rsid w:val="00E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03CED-C464-45EB-A8E1-A9058C3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EastAsia" w:hAnsi="Gill Sans MT" w:cstheme="minorHAns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87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4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F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C1B"/>
    <w:pPr>
      <w:ind w:left="720"/>
      <w:contextualSpacing/>
    </w:pPr>
  </w:style>
  <w:style w:type="paragraph" w:styleId="NoSpacing">
    <w:name w:val="No Spacing"/>
    <w:uiPriority w:val="1"/>
    <w:qFormat/>
    <w:rsid w:val="006A7705"/>
    <w:pPr>
      <w:spacing w:after="0" w:line="240" w:lineRule="auto"/>
    </w:pPr>
  </w:style>
  <w:style w:type="table" w:styleId="TableGrid">
    <w:name w:val="Table Grid"/>
    <w:basedOn w:val="TableNormal"/>
    <w:uiPriority w:val="39"/>
    <w:rsid w:val="00E6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iaxxisecolo.it/Resistenza/resistenzadonn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C463-94CB-4A99-9423-EE47279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90818533</Template>
  <TotalTime>66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PLangdale</dc:creator>
  <cp:keywords/>
  <dc:description/>
  <cp:lastModifiedBy>PLangdale</cp:lastModifiedBy>
  <cp:revision>2</cp:revision>
  <cp:lastPrinted>2017-05-18T07:35:00Z</cp:lastPrinted>
  <dcterms:created xsi:type="dcterms:W3CDTF">2017-05-18T07:19:00Z</dcterms:created>
  <dcterms:modified xsi:type="dcterms:W3CDTF">2018-06-29T10:48:00Z</dcterms:modified>
</cp:coreProperties>
</file>