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64" w:rsidRPr="00E37251" w:rsidRDefault="00E37251">
      <w:pPr>
        <w:pStyle w:val="Heading1"/>
        <w:rPr>
          <w:rFonts w:ascii="Gill Sans MT" w:hAnsi="Gill Sans MT"/>
          <w:lang w:val="it-IT"/>
        </w:rPr>
      </w:pPr>
      <w:r w:rsidRPr="00E37251">
        <w:rPr>
          <w:rFonts w:ascii="Gill Sans MT" w:hAnsi="Gill Sans MT"/>
          <w:lang w:val="it-IT"/>
        </w:rPr>
        <w:t>Il passato prossimo o remoto?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Al rientro in ufficio, Lojacono si trovò davanti un Giuffrè eccitatissimo. 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-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Finalmente, finalmente sei tornato. Mamma mia, che mattinata! Ti devo dire un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sacco di cose, vieni dentro.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L’ispettore scosse il capo. La concitazione del collega lo divertiva, sentiva che l’ometto era partecipe di quello che stava succedendo come e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più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 di lui stesso. 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-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Calmati, Giuffrè, che un infarto, ti fai venire. E io poi ti devo pure portare sulla coscienza. Insomma, che successe? 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Giuffrè sbatté le palpebre: 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-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Senti, </w:t>
      </w:r>
      <w:proofErr w:type="spellStart"/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Loja</w:t>
      </w:r>
      <w:proofErr w:type="spellEnd"/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’, mettiamoci d’accordo: hanno inventato il passato prossimo, qualcuno ti ha informato? «Che successe» è riferito a un anno fa, «che è successo» invece è riferito per esempio a stamattina. Se vuoi sapere di stamattina, allora chiedimi: che è successo?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Così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 ti capisco. 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Lojacono rivolse al sovrintendente uno sguardo disgustato: 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-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Senti, professore, se me lo vuoi dire me lo dici, altrimenti ti stai zitto. Se volevo ritornare a scuola ci tornavo, e facevo pure meglio,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così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 imparavo come avere a che fare con la gente come te. </w:t>
      </w:r>
    </w:p>
    <w:p w:rsidR="00E37251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Giuffrè agitò la mano. </w:t>
      </w:r>
    </w:p>
    <w:p w:rsid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/>
          <w:b w:val="0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-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Non fa niente, va’, tanto io sono intelligente e ti capisco lo stesso. Insomma, mentre tu non c’eri, indovina chi è venuta, in commissariato? La Piras.</w:t>
      </w:r>
    </w:p>
    <w:p w:rsid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</w:pPr>
    </w:p>
    <w:p w:rsidR="00106E64" w:rsidRPr="00E37251" w:rsidRDefault="00E37251" w:rsidP="00E37251">
      <w:pPr>
        <w:pStyle w:val="Heading2"/>
        <w:tabs>
          <w:tab w:val="left" w:pos="284"/>
          <w:tab w:val="left" w:pos="426"/>
        </w:tabs>
        <w:spacing w:before="0" w:after="0" w:line="276" w:lineRule="auto"/>
        <w:ind w:firstLine="425"/>
        <w:jc w:val="right"/>
        <w:rPr>
          <w:rFonts w:ascii="Gill Sans MT" w:hAnsi="Gill Sans MT"/>
          <w:b w:val="0"/>
          <w:sz w:val="24"/>
          <w:szCs w:val="24"/>
          <w:lang w:val="it-IT"/>
        </w:rPr>
      </w:pP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da </w:t>
      </w:r>
      <w:r w:rsidRPr="00E37251">
        <w:rPr>
          <w:rFonts w:ascii="Gill Sans MT" w:hAnsi="Gill Sans MT" w:cs="Helvetica Neue"/>
          <w:b w:val="0"/>
          <w:i/>
          <w:color w:val="262626"/>
          <w:sz w:val="24"/>
          <w:szCs w:val="24"/>
          <w:lang w:val="it-IT"/>
        </w:rPr>
        <w:t>Il metodo del Coccodrillo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 xml:space="preserve"> di </w:t>
      </w:r>
      <w:r w:rsidRPr="00E37251">
        <w:rPr>
          <w:rFonts w:ascii="Gill Sans MT" w:hAnsi="Gill Sans MT" w:cs="Helvetica Neue"/>
          <w:b w:val="0"/>
          <w:color w:val="262626"/>
          <w:sz w:val="24"/>
          <w:szCs w:val="24"/>
          <w:lang w:val="it-IT"/>
        </w:rPr>
        <w:t>Maurizio de Giovanni</w:t>
      </w:r>
      <w:r w:rsidR="0029588D" w:rsidRPr="00E37251">
        <w:rPr>
          <w:rFonts w:ascii="Gill Sans MT" w:hAnsi="Gill Sans MT"/>
          <w:b w:val="0"/>
          <w:sz w:val="24"/>
          <w:szCs w:val="24"/>
          <w:lang w:val="it-IT"/>
        </w:rPr>
        <w:t>.</w:t>
      </w:r>
    </w:p>
    <w:p w:rsidR="00243D15" w:rsidRDefault="00243D15" w:rsidP="00243D15">
      <w:pPr>
        <w:pStyle w:val="Heading2"/>
        <w:pBdr>
          <w:bottom w:val="single" w:sz="4" w:space="1" w:color="auto"/>
        </w:pBdr>
        <w:spacing w:line="276" w:lineRule="auto"/>
        <w:rPr>
          <w:rFonts w:ascii="Gill Sans MT" w:hAnsi="Gill Sans MT"/>
          <w:b w:val="0"/>
          <w:color w:val="000000" w:themeColor="text1"/>
          <w:sz w:val="24"/>
          <w:szCs w:val="24"/>
          <w:lang w:val="it-IT"/>
        </w:rPr>
      </w:pPr>
    </w:p>
    <w:p w:rsidR="00E37251" w:rsidRDefault="00243D15" w:rsidP="00243D15">
      <w:pPr>
        <w:pStyle w:val="Heading2"/>
        <w:spacing w:line="276" w:lineRule="auto"/>
        <w:rPr>
          <w:rFonts w:ascii="Gill Sans MT" w:hAnsi="Gill Sans MT"/>
          <w:b w:val="0"/>
          <w:color w:val="000000" w:themeColor="text1"/>
          <w:sz w:val="24"/>
          <w:szCs w:val="24"/>
          <w:lang w:val="it-IT"/>
        </w:rPr>
      </w:pPr>
      <w:r w:rsidRPr="00243D15">
        <w:rPr>
          <w:rFonts w:ascii="Gill Sans MT" w:hAnsi="Gill Sans MT"/>
          <w:b w:val="0"/>
          <w:color w:val="000000" w:themeColor="text1"/>
          <w:sz w:val="24"/>
          <w:szCs w:val="24"/>
          <w:lang w:val="it-IT"/>
        </w:rPr>
        <w:t>Leggi questo brano</w:t>
      </w:r>
      <w:r>
        <w:rPr>
          <w:rFonts w:ascii="Gill Sans MT" w:hAnsi="Gill Sans MT"/>
          <w:b w:val="0"/>
          <w:color w:val="000000" w:themeColor="text1"/>
          <w:sz w:val="24"/>
          <w:szCs w:val="24"/>
          <w:lang w:val="it-IT"/>
        </w:rPr>
        <w:t>,</w:t>
      </w:r>
      <w:r w:rsidRPr="00243D15">
        <w:rPr>
          <w:rFonts w:ascii="Gill Sans MT" w:hAnsi="Gill Sans MT"/>
          <w:b w:val="0"/>
          <w:color w:val="000000" w:themeColor="text1"/>
          <w:sz w:val="24"/>
          <w:szCs w:val="24"/>
          <w:lang w:val="it-IT"/>
        </w:rPr>
        <w:t xml:space="preserve"> che è l’inizio del capitolo XXVII del romanzo.</w:t>
      </w:r>
    </w:p>
    <w:p w:rsidR="00243D15" w:rsidRPr="00243D15" w:rsidRDefault="00243D15" w:rsidP="00243D15">
      <w:pPr>
        <w:rPr>
          <w:lang w:val="it-IT"/>
        </w:rPr>
      </w:pPr>
    </w:p>
    <w:p w:rsidR="00243D15" w:rsidRDefault="00243D15" w:rsidP="00243D15">
      <w:pPr>
        <w:pStyle w:val="ListParagraph"/>
        <w:numPr>
          <w:ilvl w:val="0"/>
          <w:numId w:val="16"/>
        </w:numPr>
        <w:rPr>
          <w:rFonts w:ascii="Gill Sans MT" w:hAnsi="Gill Sans MT"/>
          <w:color w:val="000000" w:themeColor="text1"/>
          <w:sz w:val="24"/>
          <w:lang w:val="it-IT"/>
        </w:rPr>
      </w:pPr>
      <w:r w:rsidRPr="00243D15">
        <w:rPr>
          <w:rFonts w:ascii="Gill Sans MT" w:hAnsi="Gill Sans MT"/>
          <w:color w:val="000000" w:themeColor="text1"/>
          <w:sz w:val="24"/>
          <w:lang w:val="it-IT"/>
        </w:rPr>
        <w:t>Secondo il sovraintendente Giuffrè, qual è la differenza tra il passato prossimo e il passato remoto?</w:t>
      </w:r>
    </w:p>
    <w:p w:rsidR="00243D15" w:rsidRPr="00243D15" w:rsidRDefault="00243D15" w:rsidP="00243D15">
      <w:pPr>
        <w:pStyle w:val="ListParagraph"/>
        <w:rPr>
          <w:rFonts w:ascii="Gill Sans MT" w:hAnsi="Gill Sans MT"/>
          <w:color w:val="000000" w:themeColor="text1"/>
          <w:sz w:val="24"/>
          <w:lang w:val="it-IT"/>
        </w:rPr>
      </w:pPr>
    </w:p>
    <w:p w:rsidR="00243D15" w:rsidRDefault="00243D15" w:rsidP="00243D15">
      <w:pPr>
        <w:pStyle w:val="ListParagraph"/>
        <w:numPr>
          <w:ilvl w:val="0"/>
          <w:numId w:val="16"/>
        </w:numPr>
        <w:rPr>
          <w:rFonts w:ascii="Gill Sans MT" w:hAnsi="Gill Sans MT"/>
          <w:color w:val="000000" w:themeColor="text1"/>
          <w:sz w:val="24"/>
          <w:lang w:val="it-IT"/>
        </w:rPr>
      </w:pPr>
      <w:r>
        <w:rPr>
          <w:rFonts w:ascii="Gill Sans MT" w:hAnsi="Gill Sans MT"/>
          <w:color w:val="000000" w:themeColor="text1"/>
          <w:sz w:val="24"/>
          <w:lang w:val="it-IT"/>
        </w:rPr>
        <w:t>Perché, secondo te, Lojacono si rivolge a Giuffrè come ‘professore’?</w:t>
      </w:r>
    </w:p>
    <w:p w:rsidR="00243D15" w:rsidRPr="00243D15" w:rsidRDefault="00243D15" w:rsidP="00243D15">
      <w:pPr>
        <w:rPr>
          <w:rFonts w:ascii="Gill Sans MT" w:hAnsi="Gill Sans MT"/>
          <w:color w:val="000000" w:themeColor="text1"/>
          <w:sz w:val="24"/>
          <w:lang w:val="it-IT"/>
        </w:rPr>
      </w:pPr>
    </w:p>
    <w:p w:rsidR="00243D15" w:rsidRDefault="00243D15" w:rsidP="00243D15">
      <w:pPr>
        <w:pStyle w:val="ListParagraph"/>
        <w:numPr>
          <w:ilvl w:val="0"/>
          <w:numId w:val="16"/>
        </w:numPr>
        <w:rPr>
          <w:rFonts w:ascii="Gill Sans MT" w:hAnsi="Gill Sans MT"/>
          <w:color w:val="000000" w:themeColor="text1"/>
          <w:sz w:val="24"/>
          <w:lang w:val="it-IT"/>
        </w:rPr>
      </w:pPr>
      <w:r w:rsidRPr="00243D15">
        <w:rPr>
          <w:rFonts w:ascii="Gill Sans MT" w:hAnsi="Gill Sans MT"/>
          <w:color w:val="000000" w:themeColor="text1"/>
          <w:sz w:val="24"/>
          <w:lang w:val="it-IT"/>
        </w:rPr>
        <w:t>Quale dei due tempi è usato dall’autore per raccontare?</w:t>
      </w:r>
    </w:p>
    <w:p w:rsidR="00243D15" w:rsidRPr="00243D15" w:rsidRDefault="00243D15" w:rsidP="00243D15">
      <w:pPr>
        <w:rPr>
          <w:rFonts w:ascii="Gill Sans MT" w:hAnsi="Gill Sans MT"/>
          <w:color w:val="000000" w:themeColor="text1"/>
          <w:sz w:val="24"/>
          <w:lang w:val="it-IT"/>
        </w:rPr>
      </w:pPr>
      <w:bookmarkStart w:id="0" w:name="_GoBack"/>
      <w:bookmarkEnd w:id="0"/>
    </w:p>
    <w:sectPr w:rsidR="00243D15" w:rsidRPr="00243D15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8D" w:rsidRDefault="0029588D">
      <w:r>
        <w:separator/>
      </w:r>
    </w:p>
    <w:p w:rsidR="0029588D" w:rsidRDefault="0029588D"/>
  </w:endnote>
  <w:endnote w:type="continuationSeparator" w:id="0">
    <w:p w:rsidR="0029588D" w:rsidRDefault="0029588D">
      <w:r>
        <w:continuationSeparator/>
      </w:r>
    </w:p>
    <w:p w:rsidR="0029588D" w:rsidRDefault="00295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E64" w:rsidRDefault="002958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8D" w:rsidRDefault="0029588D">
      <w:r>
        <w:separator/>
      </w:r>
    </w:p>
    <w:p w:rsidR="0029588D" w:rsidRDefault="0029588D"/>
  </w:footnote>
  <w:footnote w:type="continuationSeparator" w:id="0">
    <w:p w:rsidR="0029588D" w:rsidRDefault="0029588D">
      <w:r>
        <w:continuationSeparator/>
      </w:r>
    </w:p>
    <w:p w:rsidR="0029588D" w:rsidRDefault="002958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61F13"/>
    <w:multiLevelType w:val="hybridMultilevel"/>
    <w:tmpl w:val="87983ADC"/>
    <w:lvl w:ilvl="0" w:tplc="128AACE2">
      <w:numFmt w:val="bullet"/>
      <w:lvlText w:val="–"/>
      <w:lvlJc w:val="left"/>
      <w:pPr>
        <w:ind w:left="360" w:hanging="360"/>
      </w:pPr>
      <w:rPr>
        <w:rFonts w:ascii="Helvetica Neue" w:eastAsiaTheme="majorEastAsia" w:hAnsi="Helvetica Neue" w:cs="Helvetica Neue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BB2"/>
    <w:multiLevelType w:val="hybridMultilevel"/>
    <w:tmpl w:val="E042E0A8"/>
    <w:lvl w:ilvl="0" w:tplc="E23229C6">
      <w:numFmt w:val="bullet"/>
      <w:lvlText w:val="-"/>
      <w:lvlJc w:val="left"/>
      <w:pPr>
        <w:ind w:left="72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556B2"/>
    <w:multiLevelType w:val="hybridMultilevel"/>
    <w:tmpl w:val="4B42ABA8"/>
    <w:lvl w:ilvl="0" w:tplc="049662F2">
      <w:numFmt w:val="bullet"/>
      <w:lvlText w:val="-"/>
      <w:lvlJc w:val="left"/>
      <w:pPr>
        <w:ind w:left="72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620E"/>
    <w:multiLevelType w:val="hybridMultilevel"/>
    <w:tmpl w:val="65143FE8"/>
    <w:lvl w:ilvl="0" w:tplc="DE7A88EC">
      <w:numFmt w:val="bullet"/>
      <w:lvlText w:val="-"/>
      <w:lvlJc w:val="left"/>
      <w:pPr>
        <w:ind w:left="72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401B"/>
    <w:multiLevelType w:val="hybridMultilevel"/>
    <w:tmpl w:val="3FFE7446"/>
    <w:lvl w:ilvl="0" w:tplc="128AACE2">
      <w:numFmt w:val="bullet"/>
      <w:lvlText w:val="–"/>
      <w:lvlJc w:val="left"/>
      <w:pPr>
        <w:ind w:left="360" w:hanging="360"/>
      </w:pPr>
      <w:rPr>
        <w:rFonts w:ascii="Helvetica Neue" w:eastAsiaTheme="majorEastAsia" w:hAnsi="Helvetica Neue" w:cs="Helvetica Neue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3049"/>
    <w:multiLevelType w:val="hybridMultilevel"/>
    <w:tmpl w:val="CE3663E4"/>
    <w:lvl w:ilvl="0" w:tplc="128AACE2">
      <w:numFmt w:val="bullet"/>
      <w:lvlText w:val="–"/>
      <w:lvlJc w:val="left"/>
      <w:pPr>
        <w:ind w:left="360" w:hanging="360"/>
      </w:pPr>
      <w:rPr>
        <w:rFonts w:ascii="Helvetica Neue" w:eastAsiaTheme="majorEastAsia" w:hAnsi="Helvetica Neue" w:cs="Helvetica Neue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14C6E"/>
    <w:multiLevelType w:val="hybridMultilevel"/>
    <w:tmpl w:val="2DC8B134"/>
    <w:lvl w:ilvl="0" w:tplc="17C67C62">
      <w:numFmt w:val="bullet"/>
      <w:lvlText w:val="–"/>
      <w:lvlJc w:val="left"/>
      <w:pPr>
        <w:ind w:left="36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1C9D"/>
    <w:multiLevelType w:val="hybridMultilevel"/>
    <w:tmpl w:val="643CCD36"/>
    <w:lvl w:ilvl="0" w:tplc="EF649408">
      <w:numFmt w:val="bullet"/>
      <w:lvlText w:val="-"/>
      <w:lvlJc w:val="left"/>
      <w:pPr>
        <w:ind w:left="72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4FE4"/>
    <w:multiLevelType w:val="hybridMultilevel"/>
    <w:tmpl w:val="156A0C2C"/>
    <w:lvl w:ilvl="0" w:tplc="E3F4A53A">
      <w:numFmt w:val="bullet"/>
      <w:lvlText w:val="–"/>
      <w:lvlJc w:val="left"/>
      <w:pPr>
        <w:ind w:left="216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D13708"/>
    <w:multiLevelType w:val="hybridMultilevel"/>
    <w:tmpl w:val="CA28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5566"/>
    <w:multiLevelType w:val="hybridMultilevel"/>
    <w:tmpl w:val="FB220EE6"/>
    <w:lvl w:ilvl="0" w:tplc="18082F40">
      <w:numFmt w:val="bullet"/>
      <w:lvlText w:val="–"/>
      <w:lvlJc w:val="left"/>
      <w:pPr>
        <w:ind w:left="36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51865"/>
    <w:multiLevelType w:val="hybridMultilevel"/>
    <w:tmpl w:val="14A420FA"/>
    <w:lvl w:ilvl="0" w:tplc="BD5054D6">
      <w:numFmt w:val="bullet"/>
      <w:lvlText w:val="–"/>
      <w:lvlJc w:val="left"/>
      <w:pPr>
        <w:ind w:left="360" w:hanging="360"/>
      </w:pPr>
      <w:rPr>
        <w:rFonts w:ascii="Helvetica Neue" w:eastAsiaTheme="maj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51"/>
    <w:rsid w:val="00106E64"/>
    <w:rsid w:val="00243D15"/>
    <w:rsid w:val="0029588D"/>
    <w:rsid w:val="00AA2326"/>
    <w:rsid w:val="00E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6617"/>
  <w15:chartTrackingRefBased/>
  <w15:docId w15:val="{C1FDBEF4-3961-BC44-9728-0BC1729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4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/Library/Containers/com.microsoft.Word/Data/Library/Application%20Support/Microsoft/Office/16.0/DTS/en-US%7bBD471E1D-803D-BC49-9645-F8AAB9C0D830%7d/%7b30D42A27-5ED9-614C-B59F-8A1F10935C2C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2019-02-22T11:00:00Z</dcterms:created>
  <dcterms:modified xsi:type="dcterms:W3CDTF">2019-02-22T11:23:00Z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