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A9" w:rsidRDefault="001453A9" w:rsidP="001453A9">
      <w:pPr>
        <w:pStyle w:val="Ahead"/>
        <w:rPr>
          <w:sz w:val="50"/>
          <w:szCs w:val="50"/>
        </w:rPr>
      </w:pPr>
      <w:bookmarkStart w:id="0" w:name="_GoBack"/>
      <w:bookmarkEnd w:id="0"/>
      <w:r>
        <w:rPr>
          <w:sz w:val="50"/>
          <w:szCs w:val="50"/>
          <w:shd w:val="clear" w:color="auto" w:fill="FFFFFF"/>
        </w:rPr>
        <w:t xml:space="preserve">GCSE </w:t>
      </w:r>
      <w:r w:rsidR="00B651E1">
        <w:rPr>
          <w:sz w:val="50"/>
          <w:szCs w:val="50"/>
          <w:shd w:val="clear" w:color="auto" w:fill="FFFFFF"/>
        </w:rPr>
        <w:t>Italian</w:t>
      </w:r>
      <w:r>
        <w:rPr>
          <w:sz w:val="50"/>
          <w:szCs w:val="50"/>
          <w:shd w:val="clear" w:color="auto" w:fill="FFFFFF"/>
        </w:rPr>
        <w:t xml:space="preserve"> (9-1): Course Planner</w:t>
      </w:r>
    </w:p>
    <w:p w:rsidR="00D02507" w:rsidRDefault="00D02507">
      <w:pPr>
        <w:rPr>
          <w:rFonts w:ascii="Verdana" w:eastAsia="Times New Roman" w:hAnsi="Verdana" w:cs="Arial"/>
          <w:sz w:val="20"/>
          <w:szCs w:val="24"/>
        </w:rPr>
      </w:pPr>
    </w:p>
    <w:p w:rsidR="001453A9" w:rsidRPr="00D806DE" w:rsidRDefault="001453A9" w:rsidP="000577E3">
      <w:pPr>
        <w:pStyle w:val="Ahead"/>
        <w:spacing w:after="240"/>
      </w:pPr>
      <w:r>
        <w:t>Contents</w:t>
      </w:r>
    </w:p>
    <w:p w:rsidR="001453A9" w:rsidRPr="000577E3" w:rsidRDefault="001453A9" w:rsidP="000577E3">
      <w:pPr>
        <w:pStyle w:val="TOC1"/>
        <w:rPr>
          <w:rFonts w:ascii="Calibri" w:hAnsi="Calibri"/>
          <w:b w:val="0"/>
          <w:snapToGrid/>
          <w:sz w:val="22"/>
          <w:szCs w:val="22"/>
          <w:lang w:eastAsia="en-GB"/>
        </w:rPr>
      </w:pPr>
      <w:r w:rsidRPr="000577E3">
        <w:t>Introduction</w:t>
      </w:r>
      <w:r w:rsidRPr="000577E3">
        <w:tab/>
      </w:r>
      <w:r w:rsidR="000E6A1D">
        <w:t>2</w:t>
      </w:r>
    </w:p>
    <w:p w:rsidR="001453A9" w:rsidRPr="000577E3" w:rsidRDefault="001453A9" w:rsidP="000577E3">
      <w:pPr>
        <w:pStyle w:val="TOC1"/>
        <w:rPr>
          <w:rFonts w:ascii="Calibri" w:hAnsi="Calibri"/>
          <w:b w:val="0"/>
          <w:snapToGrid/>
          <w:sz w:val="22"/>
          <w:szCs w:val="22"/>
          <w:lang w:eastAsia="en-GB"/>
        </w:rPr>
      </w:pPr>
      <w:r w:rsidRPr="000577E3">
        <w:t>Two-year Course Planner</w:t>
      </w:r>
      <w:r w:rsidRPr="000577E3">
        <w:tab/>
      </w:r>
      <w:r w:rsidR="000E6A1D">
        <w:t>3</w:t>
      </w:r>
    </w:p>
    <w:p w:rsidR="001453A9" w:rsidRPr="000577E3" w:rsidRDefault="001453A9" w:rsidP="000577E3">
      <w:pPr>
        <w:pStyle w:val="TOC1"/>
        <w:rPr>
          <w:rFonts w:ascii="Calibri" w:hAnsi="Calibri"/>
          <w:b w:val="0"/>
          <w:snapToGrid/>
          <w:sz w:val="22"/>
          <w:szCs w:val="22"/>
          <w:lang w:eastAsia="en-GB"/>
        </w:rPr>
      </w:pPr>
      <w:r w:rsidRPr="000577E3">
        <w:t>Example Scheme of Work</w:t>
      </w:r>
      <w:r w:rsidRPr="000577E3">
        <w:tab/>
      </w:r>
      <w:r w:rsidR="000E6A1D">
        <w:t>4</w:t>
      </w:r>
    </w:p>
    <w:p w:rsidR="00D02507" w:rsidRDefault="00D02507">
      <w:pPr>
        <w:rPr>
          <w:rFonts w:ascii="Verdana" w:eastAsia="Times New Roman" w:hAnsi="Verdana" w:cs="Arial"/>
          <w:b/>
          <w:color w:val="002060"/>
          <w:sz w:val="34"/>
          <w:szCs w:val="34"/>
        </w:rPr>
      </w:pPr>
      <w:r>
        <w:rPr>
          <w:b/>
          <w:color w:val="002060"/>
          <w:sz w:val="34"/>
          <w:szCs w:val="34"/>
        </w:rPr>
        <w:br w:type="page"/>
      </w:r>
    </w:p>
    <w:p w:rsidR="001453A9" w:rsidRPr="00FE574E" w:rsidRDefault="001453A9" w:rsidP="00326257">
      <w:pPr>
        <w:pStyle w:val="Ahead"/>
        <w:spacing w:after="240"/>
      </w:pPr>
      <w:r w:rsidRPr="00FE574E">
        <w:lastRenderedPageBreak/>
        <w:t>Introduction</w:t>
      </w:r>
    </w:p>
    <w:p w:rsidR="001453A9" w:rsidRPr="004D7C4A" w:rsidRDefault="001453A9" w:rsidP="00326257">
      <w:pPr>
        <w:pStyle w:val="BodyText1"/>
        <w:spacing w:before="0" w:after="240" w:line="240" w:lineRule="auto"/>
      </w:pPr>
      <w:r>
        <w:t xml:space="preserve">This course planner provides one possible two-year course model for teaching GCSE </w:t>
      </w:r>
      <w:r w:rsidR="00B651E1">
        <w:t>Italian</w:t>
      </w:r>
      <w:r w:rsidR="00FE574E">
        <w:t xml:space="preserve"> (9-1). This model is a</w:t>
      </w:r>
      <w:r>
        <w:t xml:space="preserve"> suggestion only and there are a number of valid ways of structuring courses. The </w:t>
      </w:r>
      <w:r w:rsidR="00FE574E">
        <w:t>model</w:t>
      </w:r>
      <w:r>
        <w:t xml:space="preserve"> should be adapted by centres to work for their individual timetables and </w:t>
      </w:r>
      <w:r w:rsidR="00FE574E">
        <w:t>is</w:t>
      </w:r>
      <w:r>
        <w:t xml:space="preserve"> not prescriptive. This course planner is provided in editable W</w:t>
      </w:r>
      <w:r w:rsidRPr="00BB79B3">
        <w:t xml:space="preserve">ord format to make </w:t>
      </w:r>
      <w:r w:rsidR="00FE574E">
        <w:t>adaptation as easy as possible.</w:t>
      </w:r>
    </w:p>
    <w:p w:rsidR="001453A9" w:rsidRDefault="001453A9" w:rsidP="001453A9">
      <w:pPr>
        <w:pStyle w:val="BodyText1"/>
      </w:pPr>
      <w:r>
        <w:t xml:space="preserve">The example </w:t>
      </w:r>
      <w:r w:rsidR="00FE574E">
        <w:t>model</w:t>
      </w:r>
      <w:r>
        <w:t xml:space="preserve"> below </w:t>
      </w:r>
      <w:r w:rsidR="00FE574E">
        <w:t>is</w:t>
      </w:r>
      <w:r>
        <w:t xml:space="preserve"> bas</w:t>
      </w:r>
      <w:r w:rsidR="00FE574E">
        <w:t>ed on the following principles:</w:t>
      </w:r>
    </w:p>
    <w:p w:rsidR="001453A9" w:rsidRDefault="001453A9" w:rsidP="00FE574E">
      <w:pPr>
        <w:pStyle w:val="Bullets"/>
      </w:pPr>
      <w:r>
        <w:t>Three 1</w:t>
      </w:r>
      <w:r w:rsidR="00FE574E">
        <w:t>2-week terms per academic year.</w:t>
      </w:r>
    </w:p>
    <w:p w:rsidR="001453A9" w:rsidRDefault="001453A9" w:rsidP="00FE574E">
      <w:pPr>
        <w:pStyle w:val="Bullets"/>
      </w:pPr>
      <w:r>
        <w:t>A focussed revision p</w:t>
      </w:r>
      <w:r w:rsidR="00FE574E">
        <w:t>eriod at the end of the course –</w:t>
      </w:r>
      <w:r>
        <w:t xml:space="preserve"> the summer term of the final year of study would be used for revision and final examination preparation for linear assessme</w:t>
      </w:r>
      <w:r w:rsidR="00FE574E">
        <w:t>nt and 100% final examinations.</w:t>
      </w:r>
    </w:p>
    <w:p w:rsidR="001453A9" w:rsidRDefault="001453A9" w:rsidP="00326257">
      <w:pPr>
        <w:pStyle w:val="Bullets"/>
        <w:spacing w:after="240"/>
      </w:pPr>
      <w:r>
        <w:t xml:space="preserve">The number of hours allocated to GCSE </w:t>
      </w:r>
      <w:r w:rsidR="00B651E1">
        <w:t>Italian</w:t>
      </w:r>
      <w:r>
        <w:t xml:space="preserve"> each week will depend on the individual centre’s tim</w:t>
      </w:r>
      <w:r w:rsidR="00FE574E">
        <w:t>etable, but here an average of two hours each</w:t>
      </w:r>
      <w:r>
        <w:t xml:space="preserve"> week has been assumed as this fits with research carried out with schools, and fits 120 guided learning hours.</w:t>
      </w:r>
    </w:p>
    <w:p w:rsidR="001453A9" w:rsidRDefault="001453A9" w:rsidP="00326257">
      <w:pPr>
        <w:pStyle w:val="BodyText1"/>
        <w:spacing w:after="360"/>
      </w:pPr>
      <w:r>
        <w:t>The time allocated to each of the elements of the specification reflects the weighting of that element, as shown in the table below – all skills have an equal weighting and are worth 25% each in the final assessment, so equal amounts of time should be spent on e</w:t>
      </w:r>
      <w:r w:rsidR="00FE574E">
        <w:t>ach skill when covering the five</w:t>
      </w:r>
      <w:r>
        <w:t xml:space="preserve"> themes in the Edexcel specification. The five themes are: Identity and culture; Local area, holiday and travel; School; Future aspirations, study and work; International and global dimension. </w:t>
      </w:r>
      <w:r w:rsidRPr="000E4DB5">
        <w:rPr>
          <w:b/>
        </w:rPr>
        <w:t xml:space="preserve">All themes and topics must be studied in the context of both the students’ home country and </w:t>
      </w:r>
      <w:r w:rsidRPr="00703FC3">
        <w:rPr>
          <w:b/>
        </w:rPr>
        <w:t xml:space="preserve">that of countries and communities where </w:t>
      </w:r>
      <w:r w:rsidR="00B651E1">
        <w:rPr>
          <w:b/>
        </w:rPr>
        <w:t>Italian</w:t>
      </w:r>
      <w:r w:rsidRPr="00703FC3">
        <w:rPr>
          <w:b/>
        </w:rPr>
        <w:t xml:space="preserve"> is spoken. </w:t>
      </w:r>
      <w:r w:rsidRPr="00703FC3">
        <w:t>There will be equal weighting between the themes in the assessment.</w:t>
      </w:r>
    </w:p>
    <w:tbl>
      <w:tblPr>
        <w:tblW w:w="0" w:type="auto"/>
        <w:tblInd w:w="108" w:type="dxa"/>
        <w:tblBorders>
          <w:top w:val="single" w:sz="4" w:space="0" w:color="002656"/>
          <w:left w:val="single" w:sz="4" w:space="0" w:color="002656"/>
          <w:bottom w:val="single" w:sz="4" w:space="0" w:color="002656"/>
          <w:right w:val="single" w:sz="4" w:space="0" w:color="002656"/>
          <w:insideH w:val="single" w:sz="4" w:space="0" w:color="002656"/>
          <w:insideV w:val="single" w:sz="4" w:space="0" w:color="002656"/>
        </w:tblBorders>
        <w:tblLook w:val="04A0" w:firstRow="1" w:lastRow="0" w:firstColumn="1" w:lastColumn="0" w:noHBand="0" w:noVBand="1"/>
      </w:tblPr>
      <w:tblGrid>
        <w:gridCol w:w="1338"/>
        <w:gridCol w:w="1483"/>
        <w:gridCol w:w="1691"/>
      </w:tblGrid>
      <w:tr w:rsidR="001453A9" w:rsidTr="00B2138D">
        <w:tc>
          <w:tcPr>
            <w:tcW w:w="1338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  <w:shd w:val="clear" w:color="auto" w:fill="DEE1EA"/>
            <w:hideMark/>
          </w:tcPr>
          <w:p w:rsidR="001453A9" w:rsidRDefault="001453A9" w:rsidP="00B2138D">
            <w:pPr>
              <w:pStyle w:val="Tablehead"/>
            </w:pPr>
            <w:r>
              <w:t>Skill</w:t>
            </w:r>
          </w:p>
        </w:tc>
        <w:tc>
          <w:tcPr>
            <w:tcW w:w="1483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  <w:shd w:val="clear" w:color="auto" w:fill="DEE1EA"/>
            <w:hideMark/>
          </w:tcPr>
          <w:p w:rsidR="001453A9" w:rsidRDefault="001453A9" w:rsidP="00B2138D">
            <w:pPr>
              <w:pStyle w:val="Tablehead"/>
            </w:pPr>
            <w:r>
              <w:t>Weighting</w:t>
            </w:r>
          </w:p>
        </w:tc>
        <w:tc>
          <w:tcPr>
            <w:tcW w:w="1691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  <w:shd w:val="clear" w:color="auto" w:fill="DEE1EA"/>
            <w:hideMark/>
          </w:tcPr>
          <w:p w:rsidR="001453A9" w:rsidRDefault="001453A9" w:rsidP="00B2138D">
            <w:pPr>
              <w:pStyle w:val="Tablehead"/>
            </w:pPr>
            <w:r>
              <w:t>Assessment objectives</w:t>
            </w:r>
          </w:p>
        </w:tc>
      </w:tr>
      <w:tr w:rsidR="001453A9" w:rsidTr="00B2138D">
        <w:tc>
          <w:tcPr>
            <w:tcW w:w="1338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  <w:hideMark/>
          </w:tcPr>
          <w:p w:rsidR="001453A9" w:rsidRDefault="00FE574E" w:rsidP="00B2138D">
            <w:pPr>
              <w:pStyle w:val="Tabletext"/>
            </w:pPr>
            <w:r>
              <w:t>Listening</w:t>
            </w:r>
          </w:p>
        </w:tc>
        <w:tc>
          <w:tcPr>
            <w:tcW w:w="1483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  <w:hideMark/>
          </w:tcPr>
          <w:p w:rsidR="001453A9" w:rsidRDefault="001453A9" w:rsidP="00B2138D">
            <w:pPr>
              <w:pStyle w:val="Tabletext"/>
            </w:pPr>
            <w:r>
              <w:t>25%</w:t>
            </w:r>
          </w:p>
        </w:tc>
        <w:tc>
          <w:tcPr>
            <w:tcW w:w="1691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  <w:hideMark/>
          </w:tcPr>
          <w:p w:rsidR="001453A9" w:rsidRDefault="001453A9" w:rsidP="00B2138D">
            <w:pPr>
              <w:pStyle w:val="Tabletext"/>
            </w:pPr>
            <w:r>
              <w:t>AO1</w:t>
            </w:r>
          </w:p>
        </w:tc>
      </w:tr>
      <w:tr w:rsidR="001453A9" w:rsidTr="00B2138D">
        <w:tc>
          <w:tcPr>
            <w:tcW w:w="1338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</w:tcPr>
          <w:p w:rsidR="001453A9" w:rsidRDefault="001453A9" w:rsidP="00B2138D">
            <w:pPr>
              <w:pStyle w:val="Tabletext"/>
            </w:pPr>
            <w:r>
              <w:t>Speaking</w:t>
            </w:r>
          </w:p>
        </w:tc>
        <w:tc>
          <w:tcPr>
            <w:tcW w:w="1483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</w:tcPr>
          <w:p w:rsidR="001453A9" w:rsidRPr="00B35FD2" w:rsidRDefault="001453A9" w:rsidP="00B2138D">
            <w:pPr>
              <w:rPr>
                <w:rFonts w:ascii="Verdana" w:hAnsi="Verdana"/>
                <w:sz w:val="20"/>
                <w:szCs w:val="20"/>
              </w:rPr>
            </w:pPr>
            <w:r w:rsidRPr="00B35FD2">
              <w:rPr>
                <w:rFonts w:ascii="Verdana" w:hAnsi="Verdana"/>
                <w:sz w:val="20"/>
                <w:szCs w:val="20"/>
              </w:rPr>
              <w:t>25%</w:t>
            </w:r>
          </w:p>
        </w:tc>
        <w:tc>
          <w:tcPr>
            <w:tcW w:w="1691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</w:tcPr>
          <w:p w:rsidR="001453A9" w:rsidRDefault="001453A9" w:rsidP="00B2138D">
            <w:pPr>
              <w:pStyle w:val="Tabletext"/>
            </w:pPr>
            <w:r>
              <w:t>AO2</w:t>
            </w:r>
          </w:p>
        </w:tc>
      </w:tr>
      <w:tr w:rsidR="001453A9" w:rsidTr="00B2138D">
        <w:tc>
          <w:tcPr>
            <w:tcW w:w="1338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</w:tcPr>
          <w:p w:rsidR="001453A9" w:rsidRDefault="001453A9" w:rsidP="00B2138D">
            <w:pPr>
              <w:pStyle w:val="Tabletext"/>
            </w:pPr>
            <w:r>
              <w:t>Reading</w:t>
            </w:r>
          </w:p>
        </w:tc>
        <w:tc>
          <w:tcPr>
            <w:tcW w:w="1483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</w:tcPr>
          <w:p w:rsidR="001453A9" w:rsidRPr="00B35FD2" w:rsidRDefault="001453A9" w:rsidP="00B2138D">
            <w:pPr>
              <w:rPr>
                <w:rFonts w:ascii="Verdana" w:hAnsi="Verdana"/>
                <w:sz w:val="20"/>
                <w:szCs w:val="20"/>
              </w:rPr>
            </w:pPr>
            <w:r w:rsidRPr="00B35FD2">
              <w:rPr>
                <w:rFonts w:ascii="Verdana" w:hAnsi="Verdana"/>
                <w:sz w:val="20"/>
                <w:szCs w:val="20"/>
              </w:rPr>
              <w:t>25%</w:t>
            </w:r>
          </w:p>
        </w:tc>
        <w:tc>
          <w:tcPr>
            <w:tcW w:w="1691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</w:tcPr>
          <w:p w:rsidR="001453A9" w:rsidRDefault="001453A9" w:rsidP="00B2138D">
            <w:pPr>
              <w:pStyle w:val="Tabletext"/>
            </w:pPr>
            <w:r>
              <w:t>AO3</w:t>
            </w:r>
          </w:p>
        </w:tc>
      </w:tr>
      <w:tr w:rsidR="001453A9" w:rsidTr="00B2138D">
        <w:tc>
          <w:tcPr>
            <w:tcW w:w="1338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</w:tcPr>
          <w:p w:rsidR="001453A9" w:rsidRDefault="001453A9" w:rsidP="00B2138D">
            <w:pPr>
              <w:pStyle w:val="Tabletext"/>
            </w:pPr>
            <w:r>
              <w:t>Writing</w:t>
            </w:r>
          </w:p>
        </w:tc>
        <w:tc>
          <w:tcPr>
            <w:tcW w:w="1483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</w:tcPr>
          <w:p w:rsidR="001453A9" w:rsidRPr="00B35FD2" w:rsidRDefault="001453A9" w:rsidP="00B2138D">
            <w:pPr>
              <w:rPr>
                <w:rFonts w:ascii="Verdana" w:hAnsi="Verdana"/>
                <w:sz w:val="20"/>
                <w:szCs w:val="20"/>
              </w:rPr>
            </w:pPr>
            <w:r w:rsidRPr="00B35FD2">
              <w:rPr>
                <w:rFonts w:ascii="Verdana" w:hAnsi="Verdana"/>
                <w:sz w:val="20"/>
                <w:szCs w:val="20"/>
              </w:rPr>
              <w:t>25%</w:t>
            </w:r>
          </w:p>
        </w:tc>
        <w:tc>
          <w:tcPr>
            <w:tcW w:w="1691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</w:tcPr>
          <w:p w:rsidR="001453A9" w:rsidRDefault="001453A9" w:rsidP="00B2138D">
            <w:pPr>
              <w:pStyle w:val="Tabletext"/>
            </w:pPr>
            <w:r>
              <w:t>AO4</w:t>
            </w:r>
          </w:p>
        </w:tc>
      </w:tr>
    </w:tbl>
    <w:p w:rsidR="00FE574E" w:rsidRDefault="00FE574E" w:rsidP="00FE574E">
      <w:pPr>
        <w:pStyle w:val="BodyText1"/>
      </w:pPr>
      <w:r>
        <w:br w:type="page"/>
      </w:r>
    </w:p>
    <w:p w:rsidR="001453A9" w:rsidRDefault="001453A9" w:rsidP="00326257">
      <w:pPr>
        <w:pStyle w:val="Ahead"/>
        <w:spacing w:after="240"/>
      </w:pPr>
      <w:r>
        <w:lastRenderedPageBreak/>
        <w:t>Two-year Course Planner</w:t>
      </w:r>
    </w:p>
    <w:tbl>
      <w:tblPr>
        <w:tblW w:w="0" w:type="auto"/>
        <w:tblInd w:w="108" w:type="dxa"/>
        <w:tblBorders>
          <w:top w:val="single" w:sz="4" w:space="0" w:color="002656"/>
          <w:left w:val="single" w:sz="4" w:space="0" w:color="002656"/>
          <w:bottom w:val="single" w:sz="4" w:space="0" w:color="002656"/>
          <w:right w:val="single" w:sz="4" w:space="0" w:color="002656"/>
          <w:insideH w:val="single" w:sz="4" w:space="0" w:color="002656"/>
          <w:insideV w:val="single" w:sz="4" w:space="0" w:color="002656"/>
        </w:tblBorders>
        <w:tblLook w:val="04A0" w:firstRow="1" w:lastRow="0" w:firstColumn="1" w:lastColumn="0" w:noHBand="0" w:noVBand="1"/>
      </w:tblPr>
      <w:tblGrid>
        <w:gridCol w:w="1418"/>
        <w:gridCol w:w="4111"/>
      </w:tblGrid>
      <w:tr w:rsidR="001453A9" w:rsidTr="00B2138D">
        <w:tc>
          <w:tcPr>
            <w:tcW w:w="1418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  <w:shd w:val="clear" w:color="auto" w:fill="DEE1EA"/>
            <w:hideMark/>
          </w:tcPr>
          <w:p w:rsidR="001453A9" w:rsidRDefault="001453A9" w:rsidP="00B2138D">
            <w:pPr>
              <w:pStyle w:val="Tablehead"/>
            </w:pPr>
            <w:r>
              <w:t>Term 1</w:t>
            </w:r>
          </w:p>
        </w:tc>
        <w:tc>
          <w:tcPr>
            <w:tcW w:w="4111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  <w:shd w:val="clear" w:color="auto" w:fill="FFFFFF"/>
          </w:tcPr>
          <w:p w:rsidR="001453A9" w:rsidRDefault="005D0B04" w:rsidP="003F7D32">
            <w:pPr>
              <w:pStyle w:val="Tabletext"/>
            </w:pPr>
            <w:r>
              <w:t>Identity and culture</w:t>
            </w:r>
          </w:p>
        </w:tc>
      </w:tr>
      <w:tr w:rsidR="001453A9" w:rsidTr="00B2138D">
        <w:tc>
          <w:tcPr>
            <w:tcW w:w="1418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  <w:shd w:val="clear" w:color="auto" w:fill="DEE1EA"/>
          </w:tcPr>
          <w:p w:rsidR="001453A9" w:rsidRDefault="001453A9" w:rsidP="00B2138D">
            <w:pPr>
              <w:pStyle w:val="Tablehead"/>
            </w:pPr>
            <w:r>
              <w:t>Term 2</w:t>
            </w:r>
          </w:p>
        </w:tc>
        <w:tc>
          <w:tcPr>
            <w:tcW w:w="4111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  <w:shd w:val="clear" w:color="auto" w:fill="FFFFFF"/>
          </w:tcPr>
          <w:p w:rsidR="001453A9" w:rsidRDefault="005D0B04" w:rsidP="005D0B04">
            <w:pPr>
              <w:pStyle w:val="Tabletext"/>
            </w:pPr>
            <w:r w:rsidRPr="00DD6939">
              <w:t>Local area, holiday and travel</w:t>
            </w:r>
          </w:p>
        </w:tc>
      </w:tr>
      <w:tr w:rsidR="001453A9" w:rsidTr="00B2138D">
        <w:tc>
          <w:tcPr>
            <w:tcW w:w="1418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  <w:shd w:val="clear" w:color="auto" w:fill="DEE1EA"/>
          </w:tcPr>
          <w:p w:rsidR="001453A9" w:rsidRDefault="001453A9" w:rsidP="00B2138D">
            <w:pPr>
              <w:pStyle w:val="Tablehead"/>
            </w:pPr>
            <w:r>
              <w:t>Term 3</w:t>
            </w:r>
          </w:p>
        </w:tc>
        <w:tc>
          <w:tcPr>
            <w:tcW w:w="4111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  <w:shd w:val="clear" w:color="auto" w:fill="FFFFFF"/>
          </w:tcPr>
          <w:p w:rsidR="001453A9" w:rsidRDefault="000B29FB" w:rsidP="000B29FB">
            <w:pPr>
              <w:pStyle w:val="Tabletext"/>
            </w:pPr>
            <w:r>
              <w:t>School</w:t>
            </w:r>
          </w:p>
        </w:tc>
      </w:tr>
      <w:tr w:rsidR="001453A9" w:rsidTr="00B2138D">
        <w:tc>
          <w:tcPr>
            <w:tcW w:w="1418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  <w:shd w:val="clear" w:color="auto" w:fill="DEE1EA"/>
          </w:tcPr>
          <w:p w:rsidR="001453A9" w:rsidRDefault="001453A9" w:rsidP="00B2138D">
            <w:pPr>
              <w:pStyle w:val="Tablehead"/>
            </w:pPr>
            <w:r>
              <w:t>Term 4</w:t>
            </w:r>
          </w:p>
        </w:tc>
        <w:tc>
          <w:tcPr>
            <w:tcW w:w="4111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  <w:shd w:val="clear" w:color="auto" w:fill="FFFFFF"/>
          </w:tcPr>
          <w:p w:rsidR="001453A9" w:rsidRDefault="002A6609" w:rsidP="005D0B04">
            <w:pPr>
              <w:pStyle w:val="Tabletext"/>
            </w:pPr>
            <w:r>
              <w:t>Futu</w:t>
            </w:r>
            <w:r w:rsidR="005D0B04">
              <w:t>re aspirations, study and work</w:t>
            </w:r>
            <w:r w:rsidR="000B29FB">
              <w:t>; International and global dimension</w:t>
            </w:r>
          </w:p>
        </w:tc>
      </w:tr>
      <w:tr w:rsidR="001453A9" w:rsidTr="00B2138D">
        <w:tc>
          <w:tcPr>
            <w:tcW w:w="1418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  <w:shd w:val="clear" w:color="auto" w:fill="DEE1EA"/>
          </w:tcPr>
          <w:p w:rsidR="001453A9" w:rsidRDefault="001453A9" w:rsidP="00B2138D">
            <w:pPr>
              <w:pStyle w:val="Tablehead"/>
            </w:pPr>
            <w:r>
              <w:t>Term 5</w:t>
            </w:r>
          </w:p>
        </w:tc>
        <w:tc>
          <w:tcPr>
            <w:tcW w:w="4111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  <w:shd w:val="clear" w:color="auto" w:fill="FFFFFF"/>
          </w:tcPr>
          <w:p w:rsidR="001453A9" w:rsidRDefault="001453A9" w:rsidP="005D0B04">
            <w:pPr>
              <w:pStyle w:val="Tabletext"/>
            </w:pPr>
            <w:r>
              <w:t>International and glob</w:t>
            </w:r>
            <w:r w:rsidR="005D0B04">
              <w:t>al dimension</w:t>
            </w:r>
            <w:r w:rsidR="000B29FB">
              <w:t>; Revision</w:t>
            </w:r>
          </w:p>
        </w:tc>
      </w:tr>
      <w:tr w:rsidR="001453A9" w:rsidTr="00B2138D">
        <w:tc>
          <w:tcPr>
            <w:tcW w:w="1418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  <w:shd w:val="clear" w:color="auto" w:fill="DEE1EA"/>
          </w:tcPr>
          <w:p w:rsidR="001453A9" w:rsidRDefault="001453A9" w:rsidP="00B2138D">
            <w:pPr>
              <w:pStyle w:val="Tablehead"/>
            </w:pPr>
            <w:r>
              <w:t>Term 6</w:t>
            </w:r>
          </w:p>
        </w:tc>
        <w:tc>
          <w:tcPr>
            <w:tcW w:w="4111" w:type="dxa"/>
            <w:tcBorders>
              <w:top w:val="single" w:sz="4" w:space="0" w:color="002656"/>
              <w:left w:val="single" w:sz="4" w:space="0" w:color="002656"/>
              <w:bottom w:val="single" w:sz="4" w:space="0" w:color="002656"/>
              <w:right w:val="single" w:sz="4" w:space="0" w:color="002656"/>
            </w:tcBorders>
            <w:shd w:val="clear" w:color="auto" w:fill="FFFFFF"/>
          </w:tcPr>
          <w:p w:rsidR="001453A9" w:rsidRDefault="001453A9" w:rsidP="00B2138D">
            <w:pPr>
              <w:pStyle w:val="Tabletext"/>
            </w:pPr>
            <w:r>
              <w:t>Revision</w:t>
            </w:r>
          </w:p>
        </w:tc>
      </w:tr>
    </w:tbl>
    <w:p w:rsidR="001453A9" w:rsidRPr="00A22D0D" w:rsidRDefault="001453A9" w:rsidP="00326257">
      <w:pPr>
        <w:pStyle w:val="BodyText1"/>
        <w:spacing w:before="240" w:after="240"/>
      </w:pPr>
      <w:r w:rsidRPr="00703FC3">
        <w:t>Centres should note that a greater amount of time may be spent in class on the theme</w:t>
      </w:r>
      <w:r w:rsidR="005D0B04">
        <w:t>s</w:t>
      </w:r>
      <w:r w:rsidR="000B29FB">
        <w:t xml:space="preserve"> of Identity and Culture, </w:t>
      </w:r>
      <w:r w:rsidR="005D0B04">
        <w:t xml:space="preserve">Local area, holiday and travel </w:t>
      </w:r>
      <w:r w:rsidR="000B29FB">
        <w:t xml:space="preserve">and School </w:t>
      </w:r>
      <w:r w:rsidR="005D0B04">
        <w:t>as these incorporate</w:t>
      </w:r>
      <w:r w:rsidRPr="00703FC3">
        <w:t xml:space="preserve"> many areas that students will w</w:t>
      </w:r>
      <w:r w:rsidR="005D0B04">
        <w:t>ant to talk about and also give</w:t>
      </w:r>
      <w:r w:rsidRPr="00703FC3">
        <w:t xml:space="preserve"> good opportunities to teach much of the required grammar and vocabulary, as well as providing a good transition from KS3, but that there will be equal weighting between the themes in the assessment.</w:t>
      </w:r>
    </w:p>
    <w:p w:rsidR="001453A9" w:rsidRDefault="001453A9" w:rsidP="001453A9">
      <w:pPr>
        <w:pStyle w:val="BodyText1"/>
      </w:pPr>
      <w:r w:rsidRPr="00547B96">
        <w:t>Centres should adapt these models to work f</w:t>
      </w:r>
      <w:r w:rsidR="00FE574E">
        <w:t>or their individual timetables.</w:t>
      </w:r>
    </w:p>
    <w:p w:rsidR="00FE574E" w:rsidRDefault="00FE574E">
      <w:pPr>
        <w:rPr>
          <w:rFonts w:ascii="Verdana" w:eastAsia="Times New Roman" w:hAnsi="Verdana" w:cs="Arial"/>
          <w:sz w:val="20"/>
          <w:szCs w:val="24"/>
        </w:rPr>
      </w:pPr>
      <w:r>
        <w:br w:type="page"/>
      </w:r>
    </w:p>
    <w:p w:rsidR="001453A9" w:rsidRDefault="001453A9" w:rsidP="00326257">
      <w:pPr>
        <w:pStyle w:val="Ahead"/>
        <w:spacing w:after="240"/>
      </w:pPr>
      <w:r>
        <w:lastRenderedPageBreak/>
        <w:t>Example Scheme of Work</w:t>
      </w:r>
    </w:p>
    <w:p w:rsidR="00FE574E" w:rsidRDefault="00FE574E" w:rsidP="00326257">
      <w:pPr>
        <w:pStyle w:val="BodyText1"/>
        <w:spacing w:after="240"/>
      </w:pPr>
      <w:r>
        <w:rPr>
          <w:szCs w:val="20"/>
        </w:rPr>
        <w:t>The following scheme of w</w:t>
      </w:r>
      <w:r w:rsidRPr="0040656B">
        <w:rPr>
          <w:szCs w:val="20"/>
        </w:rPr>
        <w:t>ork show</w:t>
      </w:r>
      <w:r>
        <w:rPr>
          <w:szCs w:val="20"/>
        </w:rPr>
        <w:t>s</w:t>
      </w:r>
      <w:r w:rsidRPr="0040656B">
        <w:rPr>
          <w:szCs w:val="20"/>
        </w:rPr>
        <w:t xml:space="preserve"> how the content could be taught over the</w:t>
      </w:r>
      <w:r>
        <w:rPr>
          <w:szCs w:val="20"/>
        </w:rPr>
        <w:t xml:space="preserve"> times specified in the course p</w:t>
      </w:r>
      <w:r w:rsidRPr="0040656B">
        <w:rPr>
          <w:szCs w:val="20"/>
        </w:rPr>
        <w:t xml:space="preserve">lanner above. </w:t>
      </w:r>
      <w:r>
        <w:rPr>
          <w:szCs w:val="20"/>
        </w:rPr>
        <w:t xml:space="preserve">This </w:t>
      </w:r>
      <w:r w:rsidRPr="0040656B">
        <w:rPr>
          <w:szCs w:val="20"/>
        </w:rPr>
        <w:t xml:space="preserve">scheme of work </w:t>
      </w:r>
      <w:r>
        <w:t>shows one of a number of possible orders of topics and approaches to grammar coverage. It is</w:t>
      </w:r>
      <w:r>
        <w:rPr>
          <w:szCs w:val="20"/>
        </w:rPr>
        <w:t xml:space="preserve"> also</w:t>
      </w:r>
      <w:r w:rsidRPr="0040656B">
        <w:rPr>
          <w:szCs w:val="20"/>
        </w:rPr>
        <w:t xml:space="preserve"> available as </w:t>
      </w:r>
      <w:r>
        <w:rPr>
          <w:szCs w:val="20"/>
        </w:rPr>
        <w:t>a separate document and more detailed schemes of work will be made available in due course, which may include some changes to teaching order.</w:t>
      </w:r>
    </w:p>
    <w:p w:rsidR="00326257" w:rsidRDefault="00FE574E" w:rsidP="00326257">
      <w:pPr>
        <w:pStyle w:val="BodyText1"/>
        <w:spacing w:after="240"/>
        <w:rPr>
          <w:szCs w:val="20"/>
        </w:rPr>
      </w:pPr>
      <w:r>
        <w:rPr>
          <w:szCs w:val="20"/>
        </w:rPr>
        <w:t>This is</w:t>
      </w:r>
      <w:r w:rsidRPr="0040656B">
        <w:rPr>
          <w:szCs w:val="20"/>
        </w:rPr>
        <w:t xml:space="preserve"> intended as </w:t>
      </w:r>
      <w:r>
        <w:rPr>
          <w:szCs w:val="20"/>
        </w:rPr>
        <w:t>an example approach</w:t>
      </w:r>
      <w:r w:rsidRPr="0040656B">
        <w:rPr>
          <w:szCs w:val="20"/>
        </w:rPr>
        <w:t xml:space="preserve"> only and </w:t>
      </w:r>
      <w:r>
        <w:rPr>
          <w:szCs w:val="20"/>
        </w:rPr>
        <w:t>is</w:t>
      </w:r>
      <w:r w:rsidRPr="0040656B">
        <w:rPr>
          <w:szCs w:val="20"/>
        </w:rPr>
        <w:t xml:space="preserve"> not prescriptive: </w:t>
      </w:r>
      <w:r>
        <w:rPr>
          <w:szCs w:val="20"/>
        </w:rPr>
        <w:t>it</w:t>
      </w:r>
      <w:r w:rsidRPr="0040656B">
        <w:rPr>
          <w:szCs w:val="20"/>
        </w:rPr>
        <w:t xml:space="preserve"> should be adapted by schools to fit their timetab</w:t>
      </w:r>
      <w:r>
        <w:rPr>
          <w:szCs w:val="20"/>
        </w:rPr>
        <w:t>ling and staffing arrangements.</w:t>
      </w:r>
    </w:p>
    <w:tbl>
      <w:tblPr>
        <w:tblW w:w="0" w:type="auto"/>
        <w:tblInd w:w="108" w:type="dxa"/>
        <w:tblBorders>
          <w:top w:val="single" w:sz="4" w:space="0" w:color="002656"/>
          <w:left w:val="single" w:sz="4" w:space="0" w:color="002656"/>
          <w:bottom w:val="single" w:sz="4" w:space="0" w:color="002656"/>
          <w:right w:val="single" w:sz="4" w:space="0" w:color="002656"/>
          <w:insideH w:val="single" w:sz="4" w:space="0" w:color="002656"/>
          <w:insideV w:val="single" w:sz="4" w:space="0" w:color="002656"/>
        </w:tblBorders>
        <w:tblLook w:val="04A0" w:firstRow="1" w:lastRow="0" w:firstColumn="1" w:lastColumn="0" w:noHBand="0" w:noVBand="1"/>
      </w:tblPr>
      <w:tblGrid>
        <w:gridCol w:w="423"/>
        <w:gridCol w:w="43"/>
        <w:gridCol w:w="1497"/>
        <w:gridCol w:w="2779"/>
        <w:gridCol w:w="3326"/>
        <w:gridCol w:w="6214"/>
      </w:tblGrid>
      <w:tr w:rsidR="001453A9" w:rsidRPr="00227E3E" w:rsidTr="000D123E">
        <w:tc>
          <w:tcPr>
            <w:tcW w:w="423" w:type="dxa"/>
            <w:shd w:val="clear" w:color="auto" w:fill="DEE1EA"/>
          </w:tcPr>
          <w:p w:rsidR="001453A9" w:rsidRPr="00227E3E" w:rsidRDefault="001453A9" w:rsidP="00B2138D">
            <w:pPr>
              <w:pStyle w:val="Tablehead"/>
            </w:pPr>
          </w:p>
        </w:tc>
        <w:tc>
          <w:tcPr>
            <w:tcW w:w="1540" w:type="dxa"/>
            <w:gridSpan w:val="2"/>
            <w:shd w:val="clear" w:color="auto" w:fill="DEE1EA"/>
          </w:tcPr>
          <w:p w:rsidR="001453A9" w:rsidRPr="00227E3E" w:rsidRDefault="001453A9" w:rsidP="00B2138D">
            <w:pPr>
              <w:pStyle w:val="Tablehead"/>
            </w:pPr>
            <w:r>
              <w:t>Term</w:t>
            </w:r>
          </w:p>
        </w:tc>
        <w:tc>
          <w:tcPr>
            <w:tcW w:w="2779" w:type="dxa"/>
            <w:shd w:val="clear" w:color="auto" w:fill="DEE1EA"/>
          </w:tcPr>
          <w:p w:rsidR="001453A9" w:rsidRPr="00227E3E" w:rsidRDefault="001453A9" w:rsidP="00B2138D">
            <w:pPr>
              <w:pStyle w:val="Tablehead"/>
            </w:pPr>
            <w:r>
              <w:t>Theme</w:t>
            </w:r>
          </w:p>
        </w:tc>
        <w:tc>
          <w:tcPr>
            <w:tcW w:w="3326" w:type="dxa"/>
            <w:shd w:val="clear" w:color="auto" w:fill="DEE1EA"/>
          </w:tcPr>
          <w:p w:rsidR="001453A9" w:rsidRPr="00227E3E" w:rsidRDefault="001453A9" w:rsidP="00B2138D">
            <w:pPr>
              <w:pStyle w:val="Tablehead"/>
            </w:pPr>
            <w:r>
              <w:t>Sub-theme(s)</w:t>
            </w:r>
          </w:p>
        </w:tc>
        <w:tc>
          <w:tcPr>
            <w:tcW w:w="6214" w:type="dxa"/>
            <w:shd w:val="clear" w:color="auto" w:fill="DEE1EA"/>
          </w:tcPr>
          <w:p w:rsidR="001453A9" w:rsidRDefault="001453A9" w:rsidP="00B2138D">
            <w:pPr>
              <w:pStyle w:val="Tablehead"/>
            </w:pPr>
            <w:r>
              <w:t>Grammar</w:t>
            </w:r>
          </w:p>
        </w:tc>
      </w:tr>
      <w:tr w:rsidR="001453A9" w:rsidRPr="00227E3E" w:rsidTr="000D123E">
        <w:tc>
          <w:tcPr>
            <w:tcW w:w="423" w:type="dxa"/>
            <w:vMerge w:val="restart"/>
            <w:shd w:val="clear" w:color="auto" w:fill="auto"/>
          </w:tcPr>
          <w:p w:rsidR="001453A9" w:rsidRPr="00227E3E" w:rsidRDefault="001453A9" w:rsidP="00B2138D">
            <w:pPr>
              <w:pStyle w:val="Tabletext"/>
            </w:pPr>
            <w:r>
              <w:t>1</w:t>
            </w:r>
          </w:p>
          <w:p w:rsidR="001453A9" w:rsidRPr="00227E3E" w:rsidRDefault="001453A9" w:rsidP="00B2138D">
            <w:pPr>
              <w:pStyle w:val="Tabletext"/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1453A9" w:rsidRPr="00227E3E" w:rsidRDefault="001453A9" w:rsidP="0030549F">
            <w:pPr>
              <w:pStyle w:val="Tabletext"/>
            </w:pPr>
            <w:r>
              <w:t>Year 10 – Autumn (1)</w:t>
            </w:r>
          </w:p>
        </w:tc>
        <w:tc>
          <w:tcPr>
            <w:tcW w:w="2779" w:type="dxa"/>
            <w:shd w:val="clear" w:color="auto" w:fill="auto"/>
          </w:tcPr>
          <w:p w:rsidR="001453A9" w:rsidRPr="00227E3E" w:rsidRDefault="00973040" w:rsidP="0030549F">
            <w:pPr>
              <w:pStyle w:val="Tabletext"/>
            </w:pPr>
            <w:r>
              <w:t>Identity and culture</w:t>
            </w:r>
          </w:p>
        </w:tc>
        <w:tc>
          <w:tcPr>
            <w:tcW w:w="3326" w:type="dxa"/>
            <w:shd w:val="clear" w:color="auto" w:fill="auto"/>
          </w:tcPr>
          <w:p w:rsidR="001453A9" w:rsidRDefault="00973040" w:rsidP="0030549F">
            <w:pPr>
              <w:pStyle w:val="Tabletext"/>
            </w:pPr>
            <w:r>
              <w:t>Who am I?</w:t>
            </w:r>
          </w:p>
          <w:p w:rsidR="0030549F" w:rsidRPr="00147E88" w:rsidRDefault="0030549F" w:rsidP="0030549F">
            <w:pPr>
              <w:pStyle w:val="Tabletext"/>
            </w:pPr>
            <w:r>
              <w:t>Daily life</w:t>
            </w:r>
          </w:p>
        </w:tc>
        <w:tc>
          <w:tcPr>
            <w:tcW w:w="6214" w:type="dxa"/>
          </w:tcPr>
          <w:p w:rsidR="002A6100" w:rsidRDefault="002A6100" w:rsidP="002A6100">
            <w:pPr>
              <w:pStyle w:val="Tabletext"/>
              <w:ind w:left="171" w:hanging="171"/>
            </w:pPr>
            <w:r>
              <w:t>– gender</w:t>
            </w:r>
          </w:p>
          <w:p w:rsidR="002A6100" w:rsidRDefault="002A6100" w:rsidP="002A6100">
            <w:pPr>
              <w:pStyle w:val="Tabletext"/>
              <w:ind w:left="171" w:hanging="171"/>
            </w:pPr>
            <w:r>
              <w:t>– definite article</w:t>
            </w:r>
          </w:p>
          <w:p w:rsidR="002A6100" w:rsidRPr="00B0616B" w:rsidRDefault="002A6100" w:rsidP="002A6100">
            <w:pPr>
              <w:pStyle w:val="Tabletext"/>
              <w:ind w:left="171" w:hanging="171"/>
            </w:pPr>
            <w:r>
              <w:t xml:space="preserve">– </w:t>
            </w:r>
            <w:r w:rsidRPr="0090589C">
              <w:t>adjectival agreement</w:t>
            </w:r>
            <w:r>
              <w:t xml:space="preserve"> </w:t>
            </w:r>
            <w:r w:rsidRPr="00B0616B">
              <w:t>and position</w:t>
            </w:r>
            <w:r>
              <w:t>;</w:t>
            </w:r>
            <w:r w:rsidRPr="0090589C">
              <w:t xml:space="preserve"> adjectives of colour</w:t>
            </w:r>
            <w:r>
              <w:t xml:space="preserve">; the adjective </w:t>
            </w:r>
            <w:r>
              <w:rPr>
                <w:i/>
              </w:rPr>
              <w:t>bello</w:t>
            </w:r>
            <w:r>
              <w:t>, including before a noun</w:t>
            </w:r>
          </w:p>
          <w:p w:rsidR="002A6100" w:rsidRPr="00B0616B" w:rsidRDefault="002A6100" w:rsidP="002A6100">
            <w:pPr>
              <w:pStyle w:val="Tabletext"/>
              <w:ind w:left="171" w:hanging="171"/>
            </w:pPr>
            <w:r>
              <w:t xml:space="preserve">– </w:t>
            </w:r>
            <w:r w:rsidRPr="00B0616B">
              <w:t>use of quantifiers/intensifiers</w:t>
            </w:r>
          </w:p>
          <w:p w:rsidR="002A6100" w:rsidRPr="00B0616B" w:rsidRDefault="002A6100" w:rsidP="002A6100">
            <w:pPr>
              <w:pStyle w:val="Tabletext"/>
              <w:ind w:left="171" w:hanging="171"/>
            </w:pPr>
            <w:r>
              <w:t>– abstract nouns</w:t>
            </w:r>
          </w:p>
          <w:p w:rsidR="002A6100" w:rsidRDefault="002A6100" w:rsidP="002A6100">
            <w:pPr>
              <w:pStyle w:val="Tabletext"/>
              <w:ind w:left="171" w:hanging="171"/>
            </w:pPr>
            <w:r>
              <w:t xml:space="preserve">– </w:t>
            </w:r>
            <w:r w:rsidRPr="00B0616B">
              <w:t>possessive adjectives</w:t>
            </w:r>
          </w:p>
          <w:p w:rsidR="002A6100" w:rsidRPr="002A6100" w:rsidRDefault="002A6100" w:rsidP="002A6100">
            <w:pPr>
              <w:pStyle w:val="Tabletext"/>
              <w:ind w:left="171" w:hanging="171"/>
            </w:pPr>
            <w:r>
              <w:t>– present tense</w:t>
            </w:r>
            <w:r w:rsidRPr="00B0616B">
              <w:t xml:space="preserve"> </w:t>
            </w:r>
            <w:r>
              <w:t>(including</w:t>
            </w:r>
            <w:r w:rsidRPr="00B0616B">
              <w:t xml:space="preserve"> </w:t>
            </w:r>
            <w:r w:rsidRPr="00B0616B">
              <w:rPr>
                <w:i/>
              </w:rPr>
              <w:t xml:space="preserve">fare, </w:t>
            </w:r>
            <w:proofErr w:type="spellStart"/>
            <w:r w:rsidRPr="00B0616B">
              <w:rPr>
                <w:i/>
              </w:rPr>
              <w:t>andare</w:t>
            </w:r>
            <w:proofErr w:type="spellEnd"/>
            <w:r>
              <w:rPr>
                <w:i/>
              </w:rPr>
              <w:t>,</w:t>
            </w:r>
            <w:r w:rsidRPr="0090589C">
              <w:rPr>
                <w:i/>
              </w:rPr>
              <w:t xml:space="preserve"> </w:t>
            </w:r>
            <w:proofErr w:type="spellStart"/>
            <w:r w:rsidRPr="0090589C">
              <w:rPr>
                <w:i/>
              </w:rPr>
              <w:t>avere</w:t>
            </w:r>
            <w:proofErr w:type="spellEnd"/>
            <w:r w:rsidRPr="0090589C">
              <w:rPr>
                <w:i/>
              </w:rPr>
              <w:t xml:space="preserve"> </w:t>
            </w:r>
            <w:r w:rsidRPr="0090589C">
              <w:t xml:space="preserve">and </w:t>
            </w:r>
            <w:proofErr w:type="spellStart"/>
            <w:r w:rsidRPr="0090589C">
              <w:rPr>
                <w:i/>
              </w:rPr>
              <w:t>essere</w:t>
            </w:r>
            <w:proofErr w:type="spellEnd"/>
            <w:r>
              <w:t>)</w:t>
            </w:r>
          </w:p>
          <w:p w:rsidR="002A6100" w:rsidRPr="00FB10CE" w:rsidRDefault="00FB10CE" w:rsidP="002A6100">
            <w:pPr>
              <w:pStyle w:val="Tabletext"/>
              <w:ind w:left="171" w:hanging="171"/>
            </w:pPr>
            <w:r>
              <w:t xml:space="preserve">– imperfect tense (including </w:t>
            </w:r>
            <w:proofErr w:type="spellStart"/>
            <w:r w:rsidR="002A6100">
              <w:rPr>
                <w:i/>
              </w:rPr>
              <w:t>essere</w:t>
            </w:r>
            <w:proofErr w:type="spellEnd"/>
            <w:r w:rsidR="002A6100">
              <w:rPr>
                <w:i/>
              </w:rPr>
              <w:t xml:space="preserve"> </w:t>
            </w:r>
            <w:r w:rsidR="002A6100">
              <w:t xml:space="preserve">and </w:t>
            </w:r>
            <w:proofErr w:type="spellStart"/>
            <w:r w:rsidR="002A6100" w:rsidRPr="004D653A">
              <w:rPr>
                <w:i/>
              </w:rPr>
              <w:t>volere</w:t>
            </w:r>
            <w:proofErr w:type="spellEnd"/>
            <w:r>
              <w:t>)</w:t>
            </w:r>
          </w:p>
          <w:p w:rsidR="002A6100" w:rsidRPr="00B0616B" w:rsidRDefault="002A6100" w:rsidP="002A6100">
            <w:pPr>
              <w:pStyle w:val="Tabletext"/>
              <w:ind w:left="171" w:hanging="171"/>
            </w:pPr>
            <w:r>
              <w:t xml:space="preserve">– </w:t>
            </w:r>
            <w:r w:rsidRPr="00B0616B">
              <w:t>asking questions</w:t>
            </w:r>
          </w:p>
          <w:p w:rsidR="002A6100" w:rsidRDefault="002A6100" w:rsidP="002A6100">
            <w:pPr>
              <w:pStyle w:val="Tabletext"/>
              <w:ind w:left="171" w:hanging="171"/>
            </w:pPr>
            <w:r>
              <w:t xml:space="preserve">– </w:t>
            </w:r>
            <w:r w:rsidRPr="00B0616B">
              <w:t>using conjunctions</w:t>
            </w:r>
          </w:p>
          <w:p w:rsidR="002A6100" w:rsidRPr="0090589C" w:rsidRDefault="002A6100" w:rsidP="002A6100">
            <w:pPr>
              <w:pStyle w:val="Tabletext"/>
              <w:ind w:left="171" w:hanging="171"/>
            </w:pPr>
            <w:r>
              <w:t>– partitive article: s</w:t>
            </w:r>
            <w:r w:rsidRPr="0090589C">
              <w:t>aying ‘some’ (</w:t>
            </w:r>
            <w:r w:rsidRPr="0090589C">
              <w:rPr>
                <w:i/>
              </w:rPr>
              <w:t xml:space="preserve">del, </w:t>
            </w:r>
            <w:proofErr w:type="spellStart"/>
            <w:r w:rsidRPr="0090589C">
              <w:rPr>
                <w:i/>
              </w:rPr>
              <w:t>della</w:t>
            </w:r>
            <w:proofErr w:type="spellEnd"/>
            <w:r w:rsidRPr="0090589C">
              <w:rPr>
                <w:i/>
              </w:rPr>
              <w:t xml:space="preserve">, dell’, </w:t>
            </w:r>
            <w:proofErr w:type="spellStart"/>
            <w:r w:rsidRPr="0090589C">
              <w:rPr>
                <w:i/>
              </w:rPr>
              <w:t>dello</w:t>
            </w:r>
            <w:proofErr w:type="spellEnd"/>
            <w:r w:rsidRPr="0090589C">
              <w:rPr>
                <w:i/>
              </w:rPr>
              <w:t xml:space="preserve">, </w:t>
            </w:r>
            <w:proofErr w:type="spellStart"/>
            <w:r w:rsidRPr="0090589C">
              <w:rPr>
                <w:i/>
              </w:rPr>
              <w:t>dei</w:t>
            </w:r>
            <w:proofErr w:type="spellEnd"/>
            <w:r w:rsidRPr="0090589C">
              <w:rPr>
                <w:i/>
              </w:rPr>
              <w:t xml:space="preserve">, </w:t>
            </w:r>
            <w:proofErr w:type="spellStart"/>
            <w:r w:rsidRPr="0090589C">
              <w:rPr>
                <w:i/>
              </w:rPr>
              <w:t>d</w:t>
            </w:r>
            <w:r>
              <w:rPr>
                <w:i/>
              </w:rPr>
              <w:t>e</w:t>
            </w:r>
            <w:r w:rsidRPr="0090589C">
              <w:rPr>
                <w:i/>
              </w:rPr>
              <w:t>gli</w:t>
            </w:r>
            <w:proofErr w:type="spellEnd"/>
            <w:r w:rsidRPr="0090589C">
              <w:rPr>
                <w:i/>
              </w:rPr>
              <w:t xml:space="preserve">, </w:t>
            </w:r>
            <w:proofErr w:type="spellStart"/>
            <w:r w:rsidRPr="0090589C">
              <w:rPr>
                <w:i/>
              </w:rPr>
              <w:t>delle</w:t>
            </w:r>
            <w:proofErr w:type="spellEnd"/>
            <w:r w:rsidRPr="0090589C">
              <w:t>)</w:t>
            </w:r>
          </w:p>
          <w:p w:rsidR="002A6100" w:rsidRDefault="002A6100" w:rsidP="002A6100">
            <w:pPr>
              <w:pStyle w:val="Tabletext"/>
              <w:ind w:left="171" w:hanging="171"/>
              <w:rPr>
                <w:i/>
              </w:rPr>
            </w:pPr>
            <w:r>
              <w:t>– irregular verb</w:t>
            </w:r>
            <w:r w:rsidRPr="0090589C">
              <w:t xml:space="preserve"> </w:t>
            </w:r>
            <w:proofErr w:type="spellStart"/>
            <w:r w:rsidRPr="0090589C">
              <w:rPr>
                <w:i/>
              </w:rPr>
              <w:t>bere</w:t>
            </w:r>
            <w:proofErr w:type="spellEnd"/>
            <w:r w:rsidRPr="0090589C">
              <w:t xml:space="preserve"> and the verb </w:t>
            </w:r>
            <w:proofErr w:type="spellStart"/>
            <w:r w:rsidRPr="0090589C">
              <w:rPr>
                <w:i/>
              </w:rPr>
              <w:t>prendere</w:t>
            </w:r>
            <w:proofErr w:type="spellEnd"/>
          </w:p>
          <w:p w:rsidR="002A6100" w:rsidRDefault="002A6100" w:rsidP="002A6100">
            <w:pPr>
              <w:pStyle w:val="Tabletext"/>
              <w:ind w:left="171" w:hanging="171"/>
            </w:pPr>
            <w:r>
              <w:t>– commo</w:t>
            </w:r>
            <w:r w:rsidRPr="00B0616B">
              <w:t>n quantities</w:t>
            </w:r>
          </w:p>
          <w:p w:rsidR="002A6100" w:rsidRPr="002A6100" w:rsidRDefault="002A6100" w:rsidP="002A6100">
            <w:pPr>
              <w:pStyle w:val="Tabletext"/>
              <w:ind w:left="171" w:hanging="171"/>
              <w:rPr>
                <w:i/>
              </w:rPr>
            </w:pPr>
            <w:r>
              <w:t xml:space="preserve">– demonstrative adjectives: </w:t>
            </w:r>
            <w:proofErr w:type="spellStart"/>
            <w:r w:rsidRPr="0090589C">
              <w:rPr>
                <w:i/>
              </w:rPr>
              <w:t>questo</w:t>
            </w:r>
            <w:proofErr w:type="spellEnd"/>
            <w:r w:rsidRPr="0090589C">
              <w:rPr>
                <w:i/>
              </w:rPr>
              <w:t>/</w:t>
            </w:r>
            <w:proofErr w:type="spellStart"/>
            <w:r w:rsidRPr="0090589C">
              <w:rPr>
                <w:i/>
              </w:rPr>
              <w:t>questa</w:t>
            </w:r>
            <w:proofErr w:type="spellEnd"/>
            <w:r w:rsidRPr="0090589C">
              <w:rPr>
                <w:i/>
              </w:rPr>
              <w:t>/</w:t>
            </w:r>
            <w:proofErr w:type="spellStart"/>
            <w:r w:rsidRPr="0090589C">
              <w:rPr>
                <w:i/>
              </w:rPr>
              <w:t>questi</w:t>
            </w:r>
            <w:proofErr w:type="spellEnd"/>
            <w:r w:rsidRPr="0090589C">
              <w:rPr>
                <w:i/>
              </w:rPr>
              <w:t>/</w:t>
            </w:r>
            <w:proofErr w:type="spellStart"/>
            <w:r w:rsidRPr="0090589C">
              <w:rPr>
                <w:i/>
              </w:rPr>
              <w:t>queste</w:t>
            </w:r>
            <w:proofErr w:type="spellEnd"/>
            <w:r>
              <w:rPr>
                <w:i/>
              </w:rPr>
              <w:t xml:space="preserve">; </w:t>
            </w:r>
            <w:proofErr w:type="spellStart"/>
            <w:r>
              <w:rPr>
                <w:i/>
              </w:rPr>
              <w:t>quello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quella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quelli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quelle</w:t>
            </w:r>
            <w:proofErr w:type="spellEnd"/>
          </w:p>
          <w:p w:rsidR="002A6100" w:rsidRPr="00973040" w:rsidRDefault="002A6100" w:rsidP="002A6100">
            <w:pPr>
              <w:pStyle w:val="Tabletext"/>
              <w:ind w:left="171" w:hanging="171"/>
            </w:pPr>
            <w:r>
              <w:t>– direct and indirect object pronouns, including position and order</w:t>
            </w:r>
          </w:p>
        </w:tc>
      </w:tr>
      <w:tr w:rsidR="001453A9" w:rsidRPr="00933B7E" w:rsidTr="000D123E">
        <w:tc>
          <w:tcPr>
            <w:tcW w:w="423" w:type="dxa"/>
            <w:vMerge/>
            <w:shd w:val="clear" w:color="auto" w:fill="auto"/>
          </w:tcPr>
          <w:p w:rsidR="001453A9" w:rsidRDefault="001453A9" w:rsidP="00B2138D">
            <w:pPr>
              <w:pStyle w:val="Tabletext"/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1453A9" w:rsidRDefault="001453A9" w:rsidP="0030549F">
            <w:pPr>
              <w:pStyle w:val="Tabletext"/>
            </w:pPr>
            <w:r>
              <w:t>Year 10 – Autumn (2)</w:t>
            </w:r>
          </w:p>
        </w:tc>
        <w:tc>
          <w:tcPr>
            <w:tcW w:w="2779" w:type="dxa"/>
            <w:shd w:val="clear" w:color="auto" w:fill="auto"/>
          </w:tcPr>
          <w:p w:rsidR="00275D40" w:rsidRPr="00227E3E" w:rsidRDefault="0048773A" w:rsidP="0030549F">
            <w:pPr>
              <w:pStyle w:val="Tabletext"/>
            </w:pPr>
            <w:r>
              <w:t>Identity and culture</w:t>
            </w:r>
          </w:p>
        </w:tc>
        <w:tc>
          <w:tcPr>
            <w:tcW w:w="3326" w:type="dxa"/>
            <w:shd w:val="clear" w:color="auto" w:fill="auto"/>
          </w:tcPr>
          <w:p w:rsidR="0030549F" w:rsidRDefault="0030549F" w:rsidP="0030549F">
            <w:pPr>
              <w:pStyle w:val="Tabletext"/>
            </w:pPr>
            <w:r>
              <w:t>Daily life</w:t>
            </w:r>
          </w:p>
          <w:p w:rsidR="0048773A" w:rsidRPr="00227E3E" w:rsidRDefault="0048773A" w:rsidP="0030549F">
            <w:pPr>
              <w:pStyle w:val="Tabletext"/>
            </w:pPr>
            <w:r>
              <w:t>Cultural life</w:t>
            </w:r>
          </w:p>
        </w:tc>
        <w:tc>
          <w:tcPr>
            <w:tcW w:w="6214" w:type="dxa"/>
          </w:tcPr>
          <w:p w:rsidR="002A6100" w:rsidRDefault="00D805B9" w:rsidP="001F73A6">
            <w:pPr>
              <w:pStyle w:val="Tabletext"/>
              <w:ind w:left="171" w:hanging="171"/>
            </w:pPr>
            <w:r>
              <w:t xml:space="preserve">– perfect tense with </w:t>
            </w:r>
            <w:proofErr w:type="spellStart"/>
            <w:r>
              <w:rPr>
                <w:i/>
              </w:rPr>
              <w:t>avere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essere</w:t>
            </w:r>
            <w:proofErr w:type="spellEnd"/>
            <w:r>
              <w:t xml:space="preserve"> and agreement of the past participle and common verbs with irregular past participles</w:t>
            </w:r>
          </w:p>
          <w:p w:rsidR="002A6100" w:rsidRDefault="00D805B9" w:rsidP="001F73A6">
            <w:pPr>
              <w:pStyle w:val="Tabletext"/>
              <w:ind w:left="171" w:hanging="171"/>
              <w:rPr>
                <w:i/>
              </w:rPr>
            </w:pPr>
            <w:r>
              <w:t xml:space="preserve">– present tense of the irregular verb </w:t>
            </w:r>
            <w:r>
              <w:rPr>
                <w:i/>
              </w:rPr>
              <w:t>fare</w:t>
            </w:r>
          </w:p>
          <w:p w:rsidR="002A6100" w:rsidRDefault="00D805B9" w:rsidP="001F73A6">
            <w:pPr>
              <w:pStyle w:val="Tabletext"/>
              <w:ind w:left="171" w:hanging="171"/>
            </w:pPr>
            <w:r>
              <w:t>– using conjunctions</w:t>
            </w:r>
          </w:p>
          <w:p w:rsidR="002A6100" w:rsidRDefault="00D805B9" w:rsidP="001F73A6">
            <w:pPr>
              <w:pStyle w:val="Tabletext"/>
              <w:ind w:left="171" w:hanging="171"/>
            </w:pPr>
            <w:r>
              <w:t>– opinions and present subjunctive</w:t>
            </w:r>
          </w:p>
          <w:p w:rsidR="002A6100" w:rsidRDefault="00D805B9" w:rsidP="001F73A6">
            <w:pPr>
              <w:pStyle w:val="Tabletext"/>
              <w:ind w:left="171" w:hanging="171"/>
              <w:rPr>
                <w:i/>
              </w:rPr>
            </w:pPr>
            <w:r>
              <w:t xml:space="preserve">– when to use </w:t>
            </w:r>
            <w:proofErr w:type="spellStart"/>
            <w:r>
              <w:rPr>
                <w:i/>
              </w:rPr>
              <w:t>giocare</w:t>
            </w:r>
            <w:proofErr w:type="spellEnd"/>
            <w:r>
              <w:t xml:space="preserve"> or </w:t>
            </w:r>
            <w:proofErr w:type="spellStart"/>
            <w:r>
              <w:rPr>
                <w:i/>
              </w:rPr>
              <w:t>suonare</w:t>
            </w:r>
            <w:proofErr w:type="spellEnd"/>
          </w:p>
          <w:p w:rsidR="002A6100" w:rsidRPr="001B734D" w:rsidRDefault="00D805B9" w:rsidP="001F73A6">
            <w:pPr>
              <w:pStyle w:val="Tabletext"/>
              <w:ind w:left="171" w:hanging="171"/>
            </w:pPr>
            <w:r>
              <w:t>– impersonal verb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piacere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i/>
              </w:rPr>
              <w:t>adorare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preferire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and </w:t>
            </w:r>
            <w:proofErr w:type="spellStart"/>
            <w:r>
              <w:rPr>
                <w:i/>
              </w:rPr>
              <w:t>detestare</w:t>
            </w:r>
            <w:proofErr w:type="spellEnd"/>
            <w:r>
              <w:rPr>
                <w:i/>
              </w:rPr>
              <w:t xml:space="preserve"> </w:t>
            </w:r>
            <w:r>
              <w:t>+</w:t>
            </w:r>
            <w:r>
              <w:rPr>
                <w:i/>
              </w:rPr>
              <w:t xml:space="preserve"> </w:t>
            </w:r>
            <w:r>
              <w:t>noun / + the infinitive of another verb</w:t>
            </w:r>
          </w:p>
          <w:p w:rsidR="002A6100" w:rsidRDefault="00D805B9" w:rsidP="001F73A6">
            <w:pPr>
              <w:pStyle w:val="Tabletext"/>
              <w:ind w:left="171" w:hanging="171"/>
            </w:pPr>
            <w:r>
              <w:t xml:space="preserve">– </w:t>
            </w:r>
            <w:r>
              <w:rPr>
                <w:i/>
              </w:rPr>
              <w:t>da</w:t>
            </w:r>
            <w:r>
              <w:t xml:space="preserve"> + the present tense</w:t>
            </w:r>
          </w:p>
          <w:p w:rsidR="002A6100" w:rsidRDefault="00D805B9" w:rsidP="001F73A6">
            <w:pPr>
              <w:pStyle w:val="Tabletext"/>
              <w:ind w:left="171" w:hanging="171"/>
            </w:pPr>
            <w:r>
              <w:t>– negatives</w:t>
            </w:r>
          </w:p>
          <w:p w:rsidR="002A6100" w:rsidRDefault="00D805B9" w:rsidP="001F73A6">
            <w:pPr>
              <w:pStyle w:val="Tabletext"/>
              <w:ind w:left="171" w:hanging="171"/>
            </w:pPr>
            <w:r>
              <w:t xml:space="preserve">– comparative (and </w:t>
            </w:r>
            <w:r>
              <w:rPr>
                <w:i/>
              </w:rPr>
              <w:t>di</w:t>
            </w:r>
            <w:r>
              <w:t xml:space="preserve"> and </w:t>
            </w:r>
            <w:proofErr w:type="spellStart"/>
            <w:r>
              <w:rPr>
                <w:i/>
              </w:rPr>
              <w:t>che</w:t>
            </w:r>
            <w:proofErr w:type="spellEnd"/>
            <w:r>
              <w:t xml:space="preserve"> after comparatives)</w:t>
            </w:r>
          </w:p>
          <w:p w:rsidR="002A6100" w:rsidRPr="000E6A1D" w:rsidRDefault="00D805B9" w:rsidP="001F73A6">
            <w:pPr>
              <w:pStyle w:val="Tabletext"/>
              <w:ind w:left="171" w:hanging="171"/>
            </w:pPr>
            <w:r>
              <w:t>– asking and answering questions</w:t>
            </w:r>
          </w:p>
        </w:tc>
      </w:tr>
      <w:tr w:rsidR="001453A9" w:rsidRPr="00227E3E" w:rsidTr="000D123E">
        <w:tc>
          <w:tcPr>
            <w:tcW w:w="423" w:type="dxa"/>
            <w:shd w:val="clear" w:color="auto" w:fill="DEE1EA"/>
          </w:tcPr>
          <w:p w:rsidR="001453A9" w:rsidRPr="00227E3E" w:rsidRDefault="001453A9" w:rsidP="00B2138D">
            <w:pPr>
              <w:pStyle w:val="Tablehead"/>
            </w:pPr>
          </w:p>
        </w:tc>
        <w:tc>
          <w:tcPr>
            <w:tcW w:w="1540" w:type="dxa"/>
            <w:gridSpan w:val="2"/>
            <w:shd w:val="clear" w:color="auto" w:fill="DEE1EA"/>
          </w:tcPr>
          <w:p w:rsidR="001453A9" w:rsidRPr="00227E3E" w:rsidRDefault="001453A9" w:rsidP="00B2138D">
            <w:pPr>
              <w:pStyle w:val="Tablehead"/>
            </w:pPr>
            <w:r>
              <w:t>Term</w:t>
            </w:r>
          </w:p>
        </w:tc>
        <w:tc>
          <w:tcPr>
            <w:tcW w:w="2779" w:type="dxa"/>
            <w:shd w:val="clear" w:color="auto" w:fill="DEE1EA"/>
          </w:tcPr>
          <w:p w:rsidR="001453A9" w:rsidRPr="00227E3E" w:rsidRDefault="001453A9" w:rsidP="00B2138D">
            <w:pPr>
              <w:pStyle w:val="Tablehead"/>
            </w:pPr>
            <w:r>
              <w:t>Theme</w:t>
            </w:r>
          </w:p>
        </w:tc>
        <w:tc>
          <w:tcPr>
            <w:tcW w:w="3326" w:type="dxa"/>
            <w:shd w:val="clear" w:color="auto" w:fill="DEE1EA"/>
          </w:tcPr>
          <w:p w:rsidR="001453A9" w:rsidRPr="00227E3E" w:rsidRDefault="001453A9" w:rsidP="00B2138D">
            <w:pPr>
              <w:pStyle w:val="Tablehead"/>
            </w:pPr>
            <w:r>
              <w:t>Sub-theme(s)</w:t>
            </w:r>
          </w:p>
        </w:tc>
        <w:tc>
          <w:tcPr>
            <w:tcW w:w="6214" w:type="dxa"/>
            <w:shd w:val="clear" w:color="auto" w:fill="DEE1EA"/>
          </w:tcPr>
          <w:p w:rsidR="001453A9" w:rsidRDefault="001453A9" w:rsidP="00B2138D">
            <w:pPr>
              <w:pStyle w:val="Tablehead"/>
            </w:pPr>
            <w:r>
              <w:t>Grammar</w:t>
            </w:r>
          </w:p>
        </w:tc>
      </w:tr>
      <w:tr w:rsidR="001453A9" w:rsidRPr="00227E3E" w:rsidTr="000D123E">
        <w:tc>
          <w:tcPr>
            <w:tcW w:w="423" w:type="dxa"/>
            <w:vMerge w:val="restart"/>
            <w:shd w:val="clear" w:color="auto" w:fill="auto"/>
          </w:tcPr>
          <w:p w:rsidR="001453A9" w:rsidRDefault="001453A9" w:rsidP="00B2138D">
            <w:pPr>
              <w:pStyle w:val="Tabletext"/>
            </w:pPr>
            <w:r>
              <w:t>2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453A9" w:rsidRDefault="001453A9" w:rsidP="0030549F">
            <w:pPr>
              <w:pStyle w:val="Tabletext"/>
            </w:pPr>
            <w:r>
              <w:t>Year 10 – Spring (1)</w:t>
            </w:r>
          </w:p>
        </w:tc>
        <w:tc>
          <w:tcPr>
            <w:tcW w:w="2779" w:type="dxa"/>
            <w:shd w:val="clear" w:color="auto" w:fill="auto"/>
          </w:tcPr>
          <w:p w:rsidR="0037688F" w:rsidRPr="00CA4291" w:rsidRDefault="0030549F" w:rsidP="0030549F">
            <w:pPr>
              <w:pStyle w:val="Tabletext"/>
            </w:pPr>
            <w:r w:rsidRPr="004F6BE4">
              <w:t>Local area, holiday and travel</w:t>
            </w:r>
          </w:p>
        </w:tc>
        <w:tc>
          <w:tcPr>
            <w:tcW w:w="3326" w:type="dxa"/>
            <w:shd w:val="clear" w:color="auto" w:fill="auto"/>
          </w:tcPr>
          <w:p w:rsidR="0030549F" w:rsidRPr="0030549F" w:rsidRDefault="0030549F" w:rsidP="0030549F">
            <w:pPr>
              <w:pStyle w:val="Tabletext"/>
            </w:pPr>
            <w:r w:rsidRPr="0030549F">
              <w:t>Town, region and country</w:t>
            </w:r>
          </w:p>
          <w:p w:rsidR="0037688F" w:rsidRPr="0030549F" w:rsidRDefault="0030549F" w:rsidP="0030549F">
            <w:pPr>
              <w:pStyle w:val="Tabletext"/>
            </w:pPr>
            <w:r w:rsidRPr="0030549F">
              <w:t>Holidays</w:t>
            </w:r>
          </w:p>
          <w:p w:rsidR="0030549F" w:rsidRPr="0030549F" w:rsidRDefault="0030549F" w:rsidP="0030549F">
            <w:pPr>
              <w:pStyle w:val="Tabletext"/>
            </w:pPr>
            <w:r w:rsidRPr="0030549F">
              <w:t>Travel and tourist transactions</w:t>
            </w:r>
          </w:p>
        </w:tc>
        <w:tc>
          <w:tcPr>
            <w:tcW w:w="6214" w:type="dxa"/>
          </w:tcPr>
          <w:p w:rsidR="005C5542" w:rsidRDefault="005C5542" w:rsidP="005C5542">
            <w:pPr>
              <w:pStyle w:val="Tabletext"/>
              <w:ind w:left="170" w:hanging="170"/>
            </w:pPr>
            <w:r>
              <w:t xml:space="preserve">– </w:t>
            </w:r>
            <w:proofErr w:type="spellStart"/>
            <w:r w:rsidRPr="004504DA">
              <w:rPr>
                <w:i/>
              </w:rPr>
              <w:t>si</w:t>
            </w:r>
            <w:proofErr w:type="spellEnd"/>
            <w:r w:rsidRPr="004504DA">
              <w:rPr>
                <w:i/>
              </w:rPr>
              <w:t xml:space="preserve"> </w:t>
            </w:r>
            <w:proofErr w:type="spellStart"/>
            <w:r w:rsidRPr="004504DA">
              <w:rPr>
                <w:i/>
              </w:rPr>
              <w:t>può</w:t>
            </w:r>
            <w:proofErr w:type="spellEnd"/>
            <w:r w:rsidRPr="004504DA">
              <w:t xml:space="preserve"> + infinitive</w:t>
            </w:r>
          </w:p>
          <w:p w:rsidR="00CA4291" w:rsidRDefault="005C5542" w:rsidP="005C5542">
            <w:pPr>
              <w:pStyle w:val="Tabletext"/>
              <w:ind w:left="170" w:hanging="170"/>
            </w:pPr>
            <w:r>
              <w:t>– prepositions with towns and countries; contracted forms with definite article; saying ‘in’ or ‘to’; with means of transport</w:t>
            </w:r>
          </w:p>
          <w:p w:rsidR="005C5542" w:rsidRDefault="005C5542" w:rsidP="005C5542">
            <w:pPr>
              <w:pStyle w:val="Tabletext"/>
              <w:ind w:left="170" w:hanging="170"/>
            </w:pPr>
            <w:r>
              <w:t>– indefinite and definite article</w:t>
            </w:r>
          </w:p>
          <w:p w:rsidR="005C5542" w:rsidRDefault="005C5542" w:rsidP="005C5542">
            <w:pPr>
              <w:pStyle w:val="Tabletext"/>
              <w:ind w:left="170" w:hanging="170"/>
            </w:pPr>
            <w:r>
              <w:t>– imperative</w:t>
            </w:r>
          </w:p>
          <w:p w:rsidR="005C5542" w:rsidRDefault="005C5542" w:rsidP="005C5542">
            <w:pPr>
              <w:pStyle w:val="Tabletext"/>
              <w:ind w:left="170" w:hanging="170"/>
            </w:pPr>
            <w:r>
              <w:t>– using question words (interrogatives)</w:t>
            </w:r>
          </w:p>
          <w:p w:rsidR="005C5542" w:rsidRDefault="005C5542" w:rsidP="005C5542">
            <w:pPr>
              <w:pStyle w:val="Tabletext"/>
              <w:ind w:left="170" w:hanging="170"/>
            </w:pPr>
            <w:r>
              <w:t>– comparatives and superlatives</w:t>
            </w:r>
          </w:p>
          <w:p w:rsidR="005C5542" w:rsidRDefault="005C5542" w:rsidP="005C5542">
            <w:pPr>
              <w:pStyle w:val="Tabletext"/>
              <w:ind w:left="170" w:hanging="170"/>
            </w:pPr>
            <w:r>
              <w:t>– discussing the weather</w:t>
            </w:r>
          </w:p>
          <w:p w:rsidR="005C5542" w:rsidRDefault="005C5542" w:rsidP="005C5542">
            <w:pPr>
              <w:pStyle w:val="Tabletext"/>
              <w:ind w:left="170" w:hanging="170"/>
            </w:pPr>
            <w:r>
              <w:t>– negatives</w:t>
            </w:r>
          </w:p>
          <w:p w:rsidR="005C5542" w:rsidRDefault="005C5542" w:rsidP="005C5542">
            <w:pPr>
              <w:pStyle w:val="Tabletext"/>
              <w:ind w:left="170" w:hanging="170"/>
            </w:pPr>
            <w:r>
              <w:t>– present tense (including reflexive verbs)</w:t>
            </w:r>
          </w:p>
          <w:p w:rsidR="005C5542" w:rsidRDefault="005C5542" w:rsidP="005C5542">
            <w:pPr>
              <w:pStyle w:val="Tabletext"/>
              <w:ind w:left="170" w:hanging="170"/>
              <w:rPr>
                <w:i/>
              </w:rPr>
            </w:pPr>
            <w:r>
              <w:t xml:space="preserve">– imperfect tense </w:t>
            </w:r>
          </w:p>
          <w:p w:rsidR="005C5542" w:rsidRDefault="005C5542" w:rsidP="005C5542">
            <w:pPr>
              <w:pStyle w:val="Tabletext"/>
              <w:ind w:left="170" w:hanging="170"/>
            </w:pPr>
            <w:r>
              <w:t xml:space="preserve">– </w:t>
            </w:r>
            <w:r w:rsidRPr="00CB7F34">
              <w:t>using conjunctions</w:t>
            </w:r>
            <w:r>
              <w:t xml:space="preserve"> and quantifiers</w:t>
            </w:r>
          </w:p>
          <w:p w:rsidR="005C5542" w:rsidRDefault="005C5542" w:rsidP="005C5542">
            <w:pPr>
              <w:pStyle w:val="Tabletext"/>
              <w:ind w:left="170" w:hanging="170"/>
            </w:pPr>
            <w:r>
              <w:t>– expressing opinions</w:t>
            </w:r>
          </w:p>
          <w:p w:rsidR="005C5542" w:rsidRPr="00480707" w:rsidRDefault="005C5542" w:rsidP="005C5542">
            <w:pPr>
              <w:pStyle w:val="Tabletext"/>
              <w:ind w:left="170" w:hanging="170"/>
            </w:pPr>
            <w:r>
              <w:lastRenderedPageBreak/>
              <w:t>– conditional tense</w:t>
            </w:r>
          </w:p>
          <w:p w:rsidR="005C5542" w:rsidRPr="00CA4291" w:rsidRDefault="005C5542" w:rsidP="005C5542">
            <w:pPr>
              <w:pStyle w:val="Tabletext"/>
              <w:ind w:left="170" w:hanging="170"/>
            </w:pPr>
            <w:r>
              <w:t>– numbers, times and dates</w:t>
            </w:r>
          </w:p>
        </w:tc>
      </w:tr>
      <w:tr w:rsidR="0030549F" w:rsidRPr="00933B7E" w:rsidTr="000D123E">
        <w:tc>
          <w:tcPr>
            <w:tcW w:w="423" w:type="dxa"/>
            <w:vMerge/>
            <w:shd w:val="clear" w:color="auto" w:fill="auto"/>
          </w:tcPr>
          <w:p w:rsidR="0030549F" w:rsidRDefault="0030549F" w:rsidP="0030549F">
            <w:pPr>
              <w:pStyle w:val="Tabletext"/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30549F" w:rsidRPr="00227E3E" w:rsidRDefault="0030549F" w:rsidP="0030549F">
            <w:pPr>
              <w:pStyle w:val="Tabletext"/>
            </w:pPr>
            <w:r>
              <w:t>Year 10 – Spring (2)</w:t>
            </w:r>
          </w:p>
        </w:tc>
        <w:tc>
          <w:tcPr>
            <w:tcW w:w="2779" w:type="dxa"/>
            <w:shd w:val="clear" w:color="auto" w:fill="auto"/>
          </w:tcPr>
          <w:p w:rsidR="0030549F" w:rsidRPr="00CA4291" w:rsidRDefault="0030549F" w:rsidP="0030549F">
            <w:pPr>
              <w:pStyle w:val="Tabletext"/>
            </w:pPr>
            <w:r w:rsidRPr="004F6BE4">
              <w:t>Local area, holiday and travel</w:t>
            </w:r>
          </w:p>
        </w:tc>
        <w:tc>
          <w:tcPr>
            <w:tcW w:w="3326" w:type="dxa"/>
            <w:shd w:val="clear" w:color="auto" w:fill="auto"/>
          </w:tcPr>
          <w:p w:rsidR="0030549F" w:rsidRPr="0030549F" w:rsidRDefault="0030549F" w:rsidP="0030549F">
            <w:pPr>
              <w:pStyle w:val="Tabletext"/>
            </w:pPr>
            <w:r w:rsidRPr="0030549F">
              <w:t>Travel and tourist transactions</w:t>
            </w:r>
          </w:p>
          <w:p w:rsidR="0030549F" w:rsidRPr="0030549F" w:rsidRDefault="0030549F" w:rsidP="0030549F">
            <w:pPr>
              <w:pStyle w:val="Tabletext"/>
            </w:pPr>
            <w:r w:rsidRPr="0030549F">
              <w:t>Holidays</w:t>
            </w:r>
          </w:p>
        </w:tc>
        <w:tc>
          <w:tcPr>
            <w:tcW w:w="6214" w:type="dxa"/>
          </w:tcPr>
          <w:p w:rsidR="005C5542" w:rsidRDefault="005C5542" w:rsidP="005C5542">
            <w:pPr>
              <w:pStyle w:val="Tabletext"/>
            </w:pPr>
            <w:r>
              <w:t>– comparative</w:t>
            </w:r>
          </w:p>
          <w:p w:rsidR="0030549F" w:rsidRPr="001F73A6" w:rsidRDefault="005C5542" w:rsidP="005C5542">
            <w:pPr>
              <w:pStyle w:val="Tabletext"/>
            </w:pPr>
            <w:r>
              <w:t xml:space="preserve">– pronoun </w:t>
            </w:r>
            <w:r>
              <w:rPr>
                <w:i/>
              </w:rPr>
              <w:t>ci/vi</w:t>
            </w:r>
            <w:r w:rsidR="001F73A6">
              <w:t xml:space="preserve">, [H] </w:t>
            </w:r>
            <w:r w:rsidR="001F73A6">
              <w:rPr>
                <w:i/>
              </w:rPr>
              <w:t>ne</w:t>
            </w:r>
          </w:p>
          <w:p w:rsidR="005C5542" w:rsidRDefault="005C5542" w:rsidP="005C5542">
            <w:pPr>
              <w:pStyle w:val="Tabletext"/>
              <w:rPr>
                <w:i/>
              </w:rPr>
            </w:pPr>
            <w:r>
              <w:t xml:space="preserve">– expressions with </w:t>
            </w:r>
            <w:proofErr w:type="spellStart"/>
            <w:r>
              <w:rPr>
                <w:i/>
              </w:rPr>
              <w:t>avere</w:t>
            </w:r>
            <w:proofErr w:type="spellEnd"/>
          </w:p>
          <w:p w:rsidR="005C5542" w:rsidRDefault="005C5542" w:rsidP="005C5542">
            <w:pPr>
              <w:pStyle w:val="Tabletext"/>
              <w:rPr>
                <w:i/>
              </w:rPr>
            </w:pPr>
            <w:r>
              <w:t>–</w:t>
            </w:r>
            <w:r w:rsidRPr="00DC0C42">
              <w:t xml:space="preserve"> conditional tense</w:t>
            </w:r>
          </w:p>
          <w:p w:rsidR="005C5542" w:rsidRDefault="005C5542" w:rsidP="005C5542">
            <w:pPr>
              <w:pStyle w:val="Tabletext"/>
            </w:pPr>
            <w:r>
              <w:t xml:space="preserve">– imperfect tense; </w:t>
            </w:r>
            <w:r>
              <w:rPr>
                <w:i/>
              </w:rPr>
              <w:t xml:space="preserve">da </w:t>
            </w:r>
            <w:r>
              <w:t>+ imperfect tense</w:t>
            </w:r>
          </w:p>
          <w:p w:rsidR="005C5542" w:rsidRPr="00387DCA" w:rsidRDefault="005C5542" w:rsidP="005C5542">
            <w:pPr>
              <w:pStyle w:val="Tabletext"/>
            </w:pPr>
            <w:r>
              <w:t>– revision of perfect tense (including recognising reflexive verbs)</w:t>
            </w:r>
          </w:p>
          <w:p w:rsidR="005C5542" w:rsidRDefault="005C5542" w:rsidP="005C5542">
            <w:pPr>
              <w:pStyle w:val="Tabletext"/>
              <w:rPr>
                <w:i/>
              </w:rPr>
            </w:pPr>
            <w:r>
              <w:t xml:space="preserve">– [H] perfect infinitive after </w:t>
            </w:r>
            <w:proofErr w:type="spellStart"/>
            <w:r>
              <w:rPr>
                <w:i/>
              </w:rPr>
              <w:t>dopo</w:t>
            </w:r>
            <w:proofErr w:type="spellEnd"/>
          </w:p>
          <w:p w:rsidR="005C5542" w:rsidRDefault="005C5542" w:rsidP="005C5542">
            <w:pPr>
              <w:pStyle w:val="Tabletext"/>
            </w:pPr>
            <w:r>
              <w:t>– opinions</w:t>
            </w:r>
          </w:p>
          <w:p w:rsidR="005C5542" w:rsidRDefault="005C5542" w:rsidP="005C5542">
            <w:pPr>
              <w:pStyle w:val="Tabletext"/>
            </w:pPr>
            <w:r>
              <w:t>– conjunctions</w:t>
            </w:r>
          </w:p>
          <w:p w:rsidR="005C5542" w:rsidRDefault="005C5542" w:rsidP="005C5542">
            <w:pPr>
              <w:pStyle w:val="Tabletext"/>
            </w:pPr>
            <w:r>
              <w:t>– using adverbs and time phrases</w:t>
            </w:r>
          </w:p>
          <w:p w:rsidR="005C5542" w:rsidRDefault="005C5542" w:rsidP="005C5542">
            <w:pPr>
              <w:pStyle w:val="Tabletext"/>
            </w:pPr>
            <w:r>
              <w:t>– future tense; using future expressions</w:t>
            </w:r>
          </w:p>
          <w:p w:rsidR="005C5542" w:rsidRDefault="005C5542" w:rsidP="005C5542">
            <w:pPr>
              <w:pStyle w:val="Tabletext"/>
            </w:pPr>
            <w:r>
              <w:t>– [H] past subjunctive (r)</w:t>
            </w:r>
          </w:p>
          <w:p w:rsidR="005C5542" w:rsidRPr="004F6BE4" w:rsidRDefault="005C5542" w:rsidP="005C5542">
            <w:pPr>
              <w:pStyle w:val="Tabletext"/>
            </w:pPr>
            <w:r>
              <w:t>– past, present and future timeframes</w:t>
            </w:r>
          </w:p>
        </w:tc>
      </w:tr>
      <w:tr w:rsidR="000760C8" w:rsidRPr="00227E3E" w:rsidTr="000D123E">
        <w:tc>
          <w:tcPr>
            <w:tcW w:w="423" w:type="dxa"/>
            <w:shd w:val="clear" w:color="auto" w:fill="DEE1EA"/>
          </w:tcPr>
          <w:p w:rsidR="000760C8" w:rsidRPr="00227E3E" w:rsidRDefault="000760C8" w:rsidP="00C63D22">
            <w:pPr>
              <w:pStyle w:val="Tablehead"/>
            </w:pPr>
          </w:p>
        </w:tc>
        <w:tc>
          <w:tcPr>
            <w:tcW w:w="1540" w:type="dxa"/>
            <w:gridSpan w:val="2"/>
            <w:shd w:val="clear" w:color="auto" w:fill="DEE1EA"/>
          </w:tcPr>
          <w:p w:rsidR="000760C8" w:rsidRPr="00227E3E" w:rsidRDefault="000760C8" w:rsidP="00C63D22">
            <w:pPr>
              <w:pStyle w:val="Tablehead"/>
            </w:pPr>
            <w:r>
              <w:t>Term</w:t>
            </w:r>
          </w:p>
        </w:tc>
        <w:tc>
          <w:tcPr>
            <w:tcW w:w="2779" w:type="dxa"/>
            <w:shd w:val="clear" w:color="auto" w:fill="DEE1EA"/>
          </w:tcPr>
          <w:p w:rsidR="000760C8" w:rsidRPr="00227E3E" w:rsidRDefault="000760C8" w:rsidP="00C63D22">
            <w:pPr>
              <w:pStyle w:val="Tablehead"/>
            </w:pPr>
            <w:r>
              <w:t>Theme</w:t>
            </w:r>
          </w:p>
        </w:tc>
        <w:tc>
          <w:tcPr>
            <w:tcW w:w="3326" w:type="dxa"/>
            <w:shd w:val="clear" w:color="auto" w:fill="DEE1EA"/>
          </w:tcPr>
          <w:p w:rsidR="000760C8" w:rsidRPr="00227E3E" w:rsidRDefault="000760C8" w:rsidP="00C63D22">
            <w:pPr>
              <w:pStyle w:val="Tablehead"/>
            </w:pPr>
            <w:r>
              <w:t>Sub-theme(s)</w:t>
            </w:r>
          </w:p>
        </w:tc>
        <w:tc>
          <w:tcPr>
            <w:tcW w:w="6214" w:type="dxa"/>
            <w:shd w:val="clear" w:color="auto" w:fill="DEE1EA"/>
          </w:tcPr>
          <w:p w:rsidR="000760C8" w:rsidRDefault="000760C8" w:rsidP="00C63D22">
            <w:pPr>
              <w:pStyle w:val="Tablehead"/>
            </w:pPr>
            <w:r>
              <w:t>Grammar</w:t>
            </w:r>
          </w:p>
        </w:tc>
      </w:tr>
      <w:tr w:rsidR="001453A9" w:rsidRPr="00933B7E" w:rsidTr="000D123E">
        <w:tc>
          <w:tcPr>
            <w:tcW w:w="423" w:type="dxa"/>
            <w:vMerge w:val="restart"/>
            <w:shd w:val="clear" w:color="auto" w:fill="auto"/>
          </w:tcPr>
          <w:p w:rsidR="001453A9" w:rsidRDefault="001453A9" w:rsidP="00B2138D">
            <w:pPr>
              <w:pStyle w:val="Tabletext"/>
            </w:pPr>
            <w:r>
              <w:t>3</w: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1453A9" w:rsidRDefault="001453A9" w:rsidP="0030549F">
            <w:pPr>
              <w:pStyle w:val="Tabletext"/>
            </w:pPr>
            <w:r>
              <w:t>Year 10 – Summer (1)</w:t>
            </w:r>
          </w:p>
        </w:tc>
        <w:tc>
          <w:tcPr>
            <w:tcW w:w="2779" w:type="dxa"/>
            <w:shd w:val="clear" w:color="auto" w:fill="auto"/>
          </w:tcPr>
          <w:p w:rsidR="009800BA" w:rsidRPr="00C46E3C" w:rsidRDefault="0030549F" w:rsidP="0030549F">
            <w:pPr>
              <w:pStyle w:val="Tabletext"/>
            </w:pPr>
            <w:r>
              <w:t>School</w:t>
            </w:r>
          </w:p>
        </w:tc>
        <w:tc>
          <w:tcPr>
            <w:tcW w:w="3326" w:type="dxa"/>
            <w:shd w:val="clear" w:color="auto" w:fill="auto"/>
          </w:tcPr>
          <w:p w:rsidR="00C46E3C" w:rsidRPr="00C46E3C" w:rsidRDefault="0030549F" w:rsidP="0030549F">
            <w:pPr>
              <w:pStyle w:val="Tabletext"/>
            </w:pPr>
            <w:r>
              <w:t>What school is like</w:t>
            </w:r>
          </w:p>
        </w:tc>
        <w:tc>
          <w:tcPr>
            <w:tcW w:w="6214" w:type="dxa"/>
          </w:tcPr>
          <w:p w:rsidR="00DD0C5A" w:rsidRDefault="00DD0C5A" w:rsidP="00DD0C5A">
            <w:pPr>
              <w:pStyle w:val="Tabletext"/>
              <w:ind w:left="170" w:hanging="170"/>
            </w:pPr>
            <w:r>
              <w:t xml:space="preserve">– definite article and </w:t>
            </w:r>
            <w:proofErr w:type="spellStart"/>
            <w:r w:rsidRPr="00DD0C5A">
              <w:rPr>
                <w:i/>
              </w:rPr>
              <w:t>piacere</w:t>
            </w:r>
            <w:proofErr w:type="spellEnd"/>
            <w:r>
              <w:t xml:space="preserve"> with school subjects (</w:t>
            </w:r>
            <w:r w:rsidRPr="00DD0C5A">
              <w:rPr>
                <w:i/>
              </w:rPr>
              <w:t xml:space="preserve">mi </w:t>
            </w:r>
            <w:proofErr w:type="spellStart"/>
            <w:r w:rsidRPr="00DD0C5A">
              <w:rPr>
                <w:i/>
              </w:rPr>
              <w:t>piace</w:t>
            </w:r>
            <w:proofErr w:type="spellEnd"/>
            <w:r w:rsidRPr="00DD0C5A">
              <w:rPr>
                <w:i/>
              </w:rPr>
              <w:t xml:space="preserve"> </w:t>
            </w:r>
            <w:proofErr w:type="spellStart"/>
            <w:r w:rsidRPr="00DD0C5A">
              <w:rPr>
                <w:i/>
              </w:rPr>
              <w:t>l’italiano</w:t>
            </w:r>
            <w:proofErr w:type="spellEnd"/>
            <w:r w:rsidRPr="00DD0C5A">
              <w:rPr>
                <w:i/>
              </w:rPr>
              <w:t xml:space="preserve"> / mi </w:t>
            </w:r>
            <w:proofErr w:type="spellStart"/>
            <w:r w:rsidRPr="00DD0C5A">
              <w:rPr>
                <w:i/>
              </w:rPr>
              <w:t>piacciono</w:t>
            </w:r>
            <w:proofErr w:type="spellEnd"/>
            <w:r w:rsidRPr="00DD0C5A">
              <w:rPr>
                <w:i/>
              </w:rPr>
              <w:t xml:space="preserve"> le </w:t>
            </w:r>
            <w:proofErr w:type="spellStart"/>
            <w:r w:rsidRPr="00DD0C5A">
              <w:rPr>
                <w:i/>
              </w:rPr>
              <w:t>scienze</w:t>
            </w:r>
            <w:proofErr w:type="spellEnd"/>
            <w:r>
              <w:t>)</w:t>
            </w:r>
          </w:p>
          <w:p w:rsidR="00C46E3C" w:rsidRDefault="00DD0C5A" w:rsidP="00DD0C5A">
            <w:pPr>
              <w:pStyle w:val="Tabletext"/>
              <w:ind w:left="170" w:hanging="170"/>
            </w:pPr>
            <w:r>
              <w:t>– 12-hour clock</w:t>
            </w:r>
          </w:p>
          <w:p w:rsidR="00DD0C5A" w:rsidRDefault="00DD0C5A" w:rsidP="00DD0C5A">
            <w:pPr>
              <w:pStyle w:val="Tabletext"/>
              <w:ind w:left="170" w:hanging="170"/>
            </w:pPr>
            <w:r>
              <w:t>– giving opinions and justifications</w:t>
            </w:r>
          </w:p>
          <w:p w:rsidR="00DD0C5A" w:rsidRDefault="00DD0C5A" w:rsidP="00DD0C5A">
            <w:pPr>
              <w:pStyle w:val="Tabletext"/>
              <w:ind w:left="170" w:hanging="170"/>
            </w:pPr>
            <w:r>
              <w:t>– using quantifiers</w:t>
            </w:r>
          </w:p>
          <w:p w:rsidR="00DD0C5A" w:rsidRDefault="00DD0C5A" w:rsidP="00DD0C5A">
            <w:pPr>
              <w:pStyle w:val="Tabletext"/>
              <w:ind w:left="170" w:hanging="170"/>
            </w:pPr>
            <w:r>
              <w:t xml:space="preserve">– using </w:t>
            </w:r>
            <w:proofErr w:type="spellStart"/>
            <w:r w:rsidRPr="00DD0C5A">
              <w:rPr>
                <w:i/>
              </w:rPr>
              <w:t>c’è</w:t>
            </w:r>
            <w:proofErr w:type="spellEnd"/>
            <w:r>
              <w:t xml:space="preserve"> and </w:t>
            </w:r>
            <w:r w:rsidRPr="00DD0C5A">
              <w:rPr>
                <w:i/>
              </w:rPr>
              <w:t xml:space="preserve">ci </w:t>
            </w:r>
            <w:proofErr w:type="spellStart"/>
            <w:r w:rsidRPr="00DD0C5A">
              <w:rPr>
                <w:i/>
              </w:rPr>
              <w:t>sono</w:t>
            </w:r>
            <w:proofErr w:type="spellEnd"/>
          </w:p>
          <w:p w:rsidR="00DD0C5A" w:rsidRDefault="00DD0C5A" w:rsidP="00DD0C5A">
            <w:pPr>
              <w:pStyle w:val="Tabletext"/>
              <w:ind w:left="170" w:hanging="170"/>
            </w:pPr>
            <w:r>
              <w:t>– emphatic pronouns</w:t>
            </w:r>
          </w:p>
          <w:p w:rsidR="00DD0C5A" w:rsidRDefault="00DD0C5A" w:rsidP="00DD0C5A">
            <w:pPr>
              <w:pStyle w:val="Tabletext"/>
              <w:ind w:left="170" w:hanging="170"/>
            </w:pPr>
            <w:r>
              <w:t>– present tense</w:t>
            </w:r>
          </w:p>
          <w:p w:rsidR="00DD0C5A" w:rsidRDefault="00DD0C5A" w:rsidP="00DD0C5A">
            <w:pPr>
              <w:pStyle w:val="Tabletext"/>
              <w:ind w:left="170" w:hanging="170"/>
            </w:pPr>
            <w:r>
              <w:t>– adjectives and agreement</w:t>
            </w:r>
          </w:p>
          <w:p w:rsidR="00DD0C5A" w:rsidRDefault="00DD0C5A" w:rsidP="00DD0C5A">
            <w:pPr>
              <w:pStyle w:val="Tabletext"/>
              <w:ind w:left="170" w:hanging="170"/>
            </w:pPr>
            <w:r>
              <w:t>– conditional tense</w:t>
            </w:r>
          </w:p>
          <w:p w:rsidR="00DD0C5A" w:rsidRDefault="00DD0C5A" w:rsidP="00DD0C5A">
            <w:pPr>
              <w:pStyle w:val="Tabletext"/>
              <w:ind w:left="170" w:hanging="170"/>
            </w:pPr>
            <w:r>
              <w:lastRenderedPageBreak/>
              <w:t>– using reflexive verbs in the present and perfect tense</w:t>
            </w:r>
          </w:p>
          <w:p w:rsidR="00DD0C5A" w:rsidRDefault="00DD0C5A" w:rsidP="00DD0C5A">
            <w:pPr>
              <w:pStyle w:val="Tabletext"/>
              <w:ind w:left="170" w:hanging="170"/>
            </w:pPr>
            <w:r>
              <w:t>– using conjunctions</w:t>
            </w:r>
          </w:p>
          <w:p w:rsidR="00DD0C5A" w:rsidRPr="00DD0C5A" w:rsidRDefault="00DD0C5A" w:rsidP="00DD0C5A">
            <w:pPr>
              <w:pStyle w:val="Tabletext"/>
              <w:ind w:left="170" w:hanging="170"/>
            </w:pPr>
            <w:r>
              <w:t xml:space="preserve">– using the preposition </w:t>
            </w:r>
            <w:r w:rsidRPr="00DD0C5A">
              <w:rPr>
                <w:i/>
              </w:rPr>
              <w:t>a</w:t>
            </w:r>
            <w:r>
              <w:t xml:space="preserve"> with time</w:t>
            </w:r>
          </w:p>
        </w:tc>
      </w:tr>
      <w:tr w:rsidR="0030549F" w:rsidRPr="00FC617D" w:rsidTr="000D123E">
        <w:tc>
          <w:tcPr>
            <w:tcW w:w="423" w:type="dxa"/>
            <w:vMerge/>
            <w:shd w:val="clear" w:color="auto" w:fill="auto"/>
          </w:tcPr>
          <w:p w:rsidR="0030549F" w:rsidRDefault="0030549F" w:rsidP="0030549F">
            <w:pPr>
              <w:pStyle w:val="Tabletext"/>
            </w:pPr>
          </w:p>
        </w:tc>
        <w:tc>
          <w:tcPr>
            <w:tcW w:w="1540" w:type="dxa"/>
            <w:gridSpan w:val="2"/>
            <w:shd w:val="clear" w:color="auto" w:fill="auto"/>
          </w:tcPr>
          <w:p w:rsidR="0030549F" w:rsidRDefault="0030549F" w:rsidP="0030549F">
            <w:pPr>
              <w:pStyle w:val="Tabletext"/>
            </w:pPr>
            <w:r>
              <w:t>Year 10 – Summer (2)</w:t>
            </w:r>
          </w:p>
        </w:tc>
        <w:tc>
          <w:tcPr>
            <w:tcW w:w="2779" w:type="dxa"/>
            <w:shd w:val="clear" w:color="auto" w:fill="auto"/>
          </w:tcPr>
          <w:p w:rsidR="0030549F" w:rsidRPr="00C46E3C" w:rsidRDefault="0030549F" w:rsidP="0030549F">
            <w:pPr>
              <w:pStyle w:val="Tabletext"/>
            </w:pPr>
            <w:r>
              <w:t>School</w:t>
            </w:r>
          </w:p>
        </w:tc>
        <w:tc>
          <w:tcPr>
            <w:tcW w:w="3326" w:type="dxa"/>
            <w:shd w:val="clear" w:color="auto" w:fill="auto"/>
          </w:tcPr>
          <w:p w:rsidR="0030549F" w:rsidRDefault="0030549F" w:rsidP="0030549F">
            <w:pPr>
              <w:pStyle w:val="Tabletext"/>
            </w:pPr>
            <w:r>
              <w:t>What school is like</w:t>
            </w:r>
          </w:p>
          <w:p w:rsidR="0030549F" w:rsidRPr="00C46E3C" w:rsidRDefault="0030549F" w:rsidP="0030549F">
            <w:pPr>
              <w:pStyle w:val="Tabletext"/>
            </w:pPr>
            <w:r>
              <w:t>School activities</w:t>
            </w:r>
          </w:p>
        </w:tc>
        <w:tc>
          <w:tcPr>
            <w:tcW w:w="6214" w:type="dxa"/>
            <w:shd w:val="clear" w:color="auto" w:fill="auto"/>
          </w:tcPr>
          <w:p w:rsidR="00DD0C5A" w:rsidRDefault="00DD0C5A" w:rsidP="00DD0C5A">
            <w:pPr>
              <w:pStyle w:val="Tabletext"/>
            </w:pPr>
            <w:r>
              <w:t xml:space="preserve">– using </w:t>
            </w:r>
            <w:proofErr w:type="spellStart"/>
            <w:r w:rsidRPr="00DD0C5A">
              <w:rPr>
                <w:i/>
              </w:rPr>
              <w:t>bisogna</w:t>
            </w:r>
            <w:proofErr w:type="spellEnd"/>
            <w:r>
              <w:t xml:space="preserve"> </w:t>
            </w:r>
            <w:r w:rsidRPr="00024A0F">
              <w:t xml:space="preserve">and </w:t>
            </w:r>
            <w:r w:rsidRPr="00DD0C5A">
              <w:rPr>
                <w:i/>
              </w:rPr>
              <w:t xml:space="preserve">è </w:t>
            </w:r>
            <w:proofErr w:type="spellStart"/>
            <w:r w:rsidRPr="00DD0C5A">
              <w:rPr>
                <w:i/>
              </w:rPr>
              <w:t>vietato</w:t>
            </w:r>
            <w:proofErr w:type="spellEnd"/>
          </w:p>
          <w:p w:rsidR="00DD0C5A" w:rsidRDefault="00DD0C5A" w:rsidP="00DD0C5A">
            <w:pPr>
              <w:pStyle w:val="Tabletext"/>
            </w:pPr>
            <w:r>
              <w:t xml:space="preserve">– </w:t>
            </w:r>
            <w:r w:rsidRPr="00024A0F">
              <w:t>giving opinions</w:t>
            </w:r>
          </w:p>
          <w:p w:rsidR="0030549F" w:rsidRDefault="00DD0C5A" w:rsidP="00DD0C5A">
            <w:pPr>
              <w:pStyle w:val="Tabletext"/>
            </w:pPr>
            <w:r>
              <w:t>– using adverbs</w:t>
            </w:r>
          </w:p>
          <w:p w:rsidR="00DD0C5A" w:rsidRDefault="00DD0C5A" w:rsidP="00DD0C5A">
            <w:pPr>
              <w:pStyle w:val="Tabletext"/>
            </w:pPr>
            <w:r>
              <w:t xml:space="preserve">– using </w:t>
            </w:r>
            <w:proofErr w:type="spellStart"/>
            <w:r w:rsidRPr="00DD0C5A">
              <w:rPr>
                <w:i/>
              </w:rPr>
              <w:t>si</w:t>
            </w:r>
            <w:proofErr w:type="spellEnd"/>
            <w:r w:rsidRPr="00DD0C5A">
              <w:rPr>
                <w:i/>
              </w:rPr>
              <w:t xml:space="preserve"> </w:t>
            </w:r>
            <w:proofErr w:type="spellStart"/>
            <w:r w:rsidRPr="00DD0C5A">
              <w:rPr>
                <w:i/>
              </w:rPr>
              <w:t>deve</w:t>
            </w:r>
            <w:proofErr w:type="spellEnd"/>
          </w:p>
          <w:p w:rsidR="00DD0C5A" w:rsidRDefault="00DD0C5A" w:rsidP="00DD0C5A">
            <w:pPr>
              <w:pStyle w:val="Tabletext"/>
            </w:pPr>
            <w:r>
              <w:t>– using conjunctions</w:t>
            </w:r>
          </w:p>
          <w:p w:rsidR="00DD0C5A" w:rsidRDefault="00DD0C5A" w:rsidP="00DD0C5A">
            <w:pPr>
              <w:pStyle w:val="Tabletext"/>
            </w:pPr>
            <w:r>
              <w:t>– using quantifiers</w:t>
            </w:r>
          </w:p>
          <w:p w:rsidR="00DD0C5A" w:rsidRDefault="00DD0C5A" w:rsidP="00DD0C5A">
            <w:pPr>
              <w:pStyle w:val="Tabletext"/>
            </w:pPr>
            <w:r>
              <w:t xml:space="preserve">– impersonal </w:t>
            </w:r>
            <w:proofErr w:type="spellStart"/>
            <w:r w:rsidRPr="00DD0C5A">
              <w:rPr>
                <w:i/>
              </w:rPr>
              <w:t>si</w:t>
            </w:r>
            <w:proofErr w:type="spellEnd"/>
            <w:r>
              <w:t xml:space="preserve"> and plural adjective after </w:t>
            </w:r>
            <w:proofErr w:type="spellStart"/>
            <w:r w:rsidRPr="00DD0C5A">
              <w:rPr>
                <w:i/>
              </w:rPr>
              <w:t>si</w:t>
            </w:r>
            <w:proofErr w:type="spellEnd"/>
          </w:p>
          <w:p w:rsidR="00DD0C5A" w:rsidRDefault="00DD0C5A" w:rsidP="00DD0C5A">
            <w:pPr>
              <w:pStyle w:val="Tabletext"/>
            </w:pPr>
            <w:r>
              <w:t>– third person of the present tense</w:t>
            </w:r>
          </w:p>
          <w:p w:rsidR="00DD0C5A" w:rsidRDefault="00DD0C5A" w:rsidP="00DD0C5A">
            <w:pPr>
              <w:pStyle w:val="Tabletext"/>
            </w:pPr>
            <w:r>
              <w:t xml:space="preserve">– modal verbs </w:t>
            </w:r>
            <w:proofErr w:type="spellStart"/>
            <w:r w:rsidRPr="00DD0C5A">
              <w:rPr>
                <w:i/>
              </w:rPr>
              <w:t>dovere</w:t>
            </w:r>
            <w:proofErr w:type="spellEnd"/>
            <w:r>
              <w:t xml:space="preserve"> and </w:t>
            </w:r>
            <w:proofErr w:type="spellStart"/>
            <w:r w:rsidRPr="00DD0C5A">
              <w:rPr>
                <w:i/>
              </w:rPr>
              <w:t>potere</w:t>
            </w:r>
            <w:proofErr w:type="spellEnd"/>
          </w:p>
          <w:p w:rsidR="00DD0C5A" w:rsidRDefault="00DD0C5A" w:rsidP="00DD0C5A">
            <w:pPr>
              <w:pStyle w:val="Tabletext"/>
            </w:pPr>
            <w:r>
              <w:t>–</w:t>
            </w:r>
            <w:r w:rsidR="006F156D">
              <w:t xml:space="preserve"> </w:t>
            </w:r>
            <w:r w:rsidRPr="0090589C">
              <w:t>the imperfect tense</w:t>
            </w:r>
          </w:p>
          <w:p w:rsidR="00DD0C5A" w:rsidRDefault="00DD0C5A" w:rsidP="00DD0C5A">
            <w:pPr>
              <w:pStyle w:val="Tabletext"/>
            </w:pPr>
            <w:r>
              <w:t>– using the imperfect and present tenses together</w:t>
            </w:r>
          </w:p>
          <w:p w:rsidR="00DD0C5A" w:rsidRDefault="00DD0C5A" w:rsidP="00DD0C5A">
            <w:pPr>
              <w:pStyle w:val="Tabletext"/>
            </w:pPr>
            <w:r>
              <w:t xml:space="preserve">– </w:t>
            </w:r>
            <w:r w:rsidRPr="0090589C">
              <w:t>past, present and future timeframes</w:t>
            </w:r>
          </w:p>
          <w:p w:rsidR="00DD0C5A" w:rsidRPr="00A602EE" w:rsidRDefault="00DD0C5A" w:rsidP="00DD0C5A">
            <w:pPr>
              <w:pStyle w:val="Tabletext"/>
            </w:pPr>
            <w:r>
              <w:t xml:space="preserve">– pronoun </w:t>
            </w:r>
            <w:r w:rsidRPr="00DD0C5A">
              <w:rPr>
                <w:i/>
              </w:rPr>
              <w:t>ci/vi</w:t>
            </w:r>
            <w:r>
              <w:t xml:space="preserve"> </w:t>
            </w:r>
          </w:p>
        </w:tc>
      </w:tr>
      <w:tr w:rsidR="00494331" w:rsidRPr="00227E3E" w:rsidTr="000D123E">
        <w:tc>
          <w:tcPr>
            <w:tcW w:w="466" w:type="dxa"/>
            <w:gridSpan w:val="2"/>
            <w:shd w:val="clear" w:color="auto" w:fill="DEE1EA"/>
          </w:tcPr>
          <w:p w:rsidR="001453A9" w:rsidRPr="00FC617D" w:rsidRDefault="001453A9" w:rsidP="00B2138D">
            <w:pPr>
              <w:pStyle w:val="Tablehead"/>
            </w:pPr>
          </w:p>
        </w:tc>
        <w:tc>
          <w:tcPr>
            <w:tcW w:w="1497" w:type="dxa"/>
            <w:shd w:val="clear" w:color="auto" w:fill="DEE1EA"/>
          </w:tcPr>
          <w:p w:rsidR="001453A9" w:rsidRPr="00227E3E" w:rsidRDefault="001453A9" w:rsidP="00B2138D">
            <w:pPr>
              <w:pStyle w:val="Tablehead"/>
            </w:pPr>
            <w:r>
              <w:t>Term</w:t>
            </w:r>
          </w:p>
        </w:tc>
        <w:tc>
          <w:tcPr>
            <w:tcW w:w="2779" w:type="dxa"/>
            <w:shd w:val="clear" w:color="auto" w:fill="DEE1EA"/>
          </w:tcPr>
          <w:p w:rsidR="001453A9" w:rsidRPr="00227E3E" w:rsidRDefault="001453A9" w:rsidP="00B2138D">
            <w:pPr>
              <w:pStyle w:val="Tablehead"/>
            </w:pPr>
            <w:r>
              <w:t>Theme</w:t>
            </w:r>
          </w:p>
        </w:tc>
        <w:tc>
          <w:tcPr>
            <w:tcW w:w="3326" w:type="dxa"/>
            <w:shd w:val="clear" w:color="auto" w:fill="DEE1EA"/>
          </w:tcPr>
          <w:p w:rsidR="001453A9" w:rsidRPr="00227E3E" w:rsidRDefault="001453A9" w:rsidP="00B2138D">
            <w:pPr>
              <w:pStyle w:val="Tablehead"/>
            </w:pPr>
            <w:r>
              <w:t>Sub-theme(s)</w:t>
            </w:r>
          </w:p>
        </w:tc>
        <w:tc>
          <w:tcPr>
            <w:tcW w:w="6214" w:type="dxa"/>
            <w:shd w:val="clear" w:color="auto" w:fill="DEE1EA"/>
          </w:tcPr>
          <w:p w:rsidR="001453A9" w:rsidRDefault="001453A9" w:rsidP="00B2138D">
            <w:pPr>
              <w:pStyle w:val="Tablehead"/>
            </w:pPr>
            <w:r>
              <w:t>Grammar</w:t>
            </w:r>
          </w:p>
        </w:tc>
      </w:tr>
      <w:tr w:rsidR="00494331" w:rsidRPr="00227E3E" w:rsidTr="000D123E">
        <w:tc>
          <w:tcPr>
            <w:tcW w:w="466" w:type="dxa"/>
            <w:gridSpan w:val="2"/>
            <w:vMerge w:val="restart"/>
            <w:shd w:val="clear" w:color="auto" w:fill="auto"/>
          </w:tcPr>
          <w:p w:rsidR="001453A9" w:rsidRDefault="001453A9" w:rsidP="00B2138D">
            <w:pPr>
              <w:pStyle w:val="Tabletext"/>
            </w:pPr>
            <w:r>
              <w:t>4</w:t>
            </w:r>
          </w:p>
        </w:tc>
        <w:tc>
          <w:tcPr>
            <w:tcW w:w="1497" w:type="dxa"/>
            <w:shd w:val="clear" w:color="auto" w:fill="auto"/>
          </w:tcPr>
          <w:p w:rsidR="001453A9" w:rsidRDefault="001453A9" w:rsidP="0030549F">
            <w:pPr>
              <w:pStyle w:val="Tabletext"/>
            </w:pPr>
            <w:r>
              <w:t>Year 11 – Autumn (1)</w:t>
            </w:r>
          </w:p>
        </w:tc>
        <w:tc>
          <w:tcPr>
            <w:tcW w:w="2779" w:type="dxa"/>
            <w:shd w:val="clear" w:color="auto" w:fill="auto"/>
          </w:tcPr>
          <w:p w:rsidR="00CA39ED" w:rsidRPr="00C673BA" w:rsidRDefault="00C866CE" w:rsidP="0030549F">
            <w:pPr>
              <w:pStyle w:val="Tabletext"/>
            </w:pPr>
            <w:r w:rsidRPr="00D75B15">
              <w:t>Future aspirations, study and work</w:t>
            </w:r>
          </w:p>
        </w:tc>
        <w:tc>
          <w:tcPr>
            <w:tcW w:w="3326" w:type="dxa"/>
            <w:shd w:val="clear" w:color="auto" w:fill="auto"/>
          </w:tcPr>
          <w:p w:rsidR="00C866CE" w:rsidRDefault="00C866CE" w:rsidP="00C866CE">
            <w:pPr>
              <w:pStyle w:val="Tabletext"/>
            </w:pPr>
            <w:r>
              <w:t>Work</w:t>
            </w:r>
          </w:p>
          <w:p w:rsidR="00C866CE" w:rsidRDefault="00C866CE" w:rsidP="00C866CE">
            <w:pPr>
              <w:pStyle w:val="Tabletext"/>
            </w:pPr>
            <w:r>
              <w:t>Ambitions</w:t>
            </w:r>
          </w:p>
          <w:p w:rsidR="00C673BA" w:rsidRPr="00C673BA" w:rsidRDefault="00C866CE" w:rsidP="0030549F">
            <w:pPr>
              <w:pStyle w:val="Tabletext"/>
            </w:pPr>
            <w:r>
              <w:t>Using languages beyond the classroom</w:t>
            </w:r>
          </w:p>
        </w:tc>
        <w:tc>
          <w:tcPr>
            <w:tcW w:w="6214" w:type="dxa"/>
          </w:tcPr>
          <w:p w:rsidR="008F052D" w:rsidRDefault="00C91F05" w:rsidP="00C91F05">
            <w:pPr>
              <w:pStyle w:val="Tabletext"/>
              <w:ind w:left="151" w:hanging="151"/>
            </w:pPr>
            <w:r>
              <w:t>– jobs – nouns</w:t>
            </w:r>
          </w:p>
          <w:p w:rsidR="00C673BA" w:rsidRDefault="00C91F05" w:rsidP="00C91F05">
            <w:pPr>
              <w:pStyle w:val="Tabletext"/>
              <w:ind w:left="151" w:hanging="151"/>
            </w:pPr>
            <w:r>
              <w:t>– omission of the indefinite article</w:t>
            </w:r>
          </w:p>
          <w:p w:rsidR="008F052D" w:rsidRDefault="00C91F05" w:rsidP="00C91F05">
            <w:pPr>
              <w:pStyle w:val="Tabletext"/>
              <w:ind w:left="151" w:hanging="151"/>
            </w:pPr>
            <w:r>
              <w:t xml:space="preserve">– combining the present and perfect tenses and the conditional </w:t>
            </w:r>
          </w:p>
          <w:p w:rsidR="008F052D" w:rsidRDefault="00C91F05" w:rsidP="00C91F05">
            <w:pPr>
              <w:pStyle w:val="Tabletext"/>
              <w:ind w:left="151" w:hanging="151"/>
            </w:pPr>
            <w:r>
              <w:t>– indirect object pronouns</w:t>
            </w:r>
          </w:p>
          <w:p w:rsidR="008F052D" w:rsidRDefault="00C91F05" w:rsidP="00C91F05">
            <w:pPr>
              <w:pStyle w:val="Tabletext"/>
              <w:ind w:left="151" w:hanging="151"/>
            </w:pPr>
            <w:r>
              <w:t xml:space="preserve">– conditional tense </w:t>
            </w:r>
          </w:p>
          <w:p w:rsidR="008F052D" w:rsidRDefault="00C91F05" w:rsidP="00C91F05">
            <w:pPr>
              <w:pStyle w:val="Tabletext"/>
              <w:ind w:left="151" w:hanging="151"/>
            </w:pPr>
            <w:r>
              <w:t>– adjectives and agreement</w:t>
            </w:r>
          </w:p>
          <w:p w:rsidR="008F052D" w:rsidRDefault="00C91F05" w:rsidP="00C91F05">
            <w:pPr>
              <w:pStyle w:val="Tabletext"/>
              <w:ind w:left="151" w:hanging="151"/>
            </w:pPr>
            <w:r>
              <w:t>– using conjunctions</w:t>
            </w:r>
          </w:p>
          <w:p w:rsidR="008F052D" w:rsidRDefault="00C91F05" w:rsidP="00C91F05">
            <w:pPr>
              <w:pStyle w:val="Tabletext"/>
              <w:ind w:left="151" w:hanging="151"/>
            </w:pPr>
            <w:r>
              <w:t>– the future tense and future expressions</w:t>
            </w:r>
          </w:p>
          <w:p w:rsidR="008F052D" w:rsidRPr="00C673BA" w:rsidRDefault="00C91F05" w:rsidP="00C91F05">
            <w:pPr>
              <w:pStyle w:val="Tabletext"/>
              <w:ind w:left="151" w:hanging="151"/>
            </w:pPr>
            <w:r>
              <w:t>– adverbs</w:t>
            </w:r>
          </w:p>
        </w:tc>
      </w:tr>
      <w:tr w:rsidR="00494331" w:rsidRPr="00227E3E" w:rsidTr="000D123E">
        <w:tc>
          <w:tcPr>
            <w:tcW w:w="466" w:type="dxa"/>
            <w:gridSpan w:val="2"/>
            <w:vMerge/>
            <w:shd w:val="clear" w:color="auto" w:fill="auto"/>
          </w:tcPr>
          <w:p w:rsidR="001453A9" w:rsidRDefault="001453A9" w:rsidP="00B2138D">
            <w:pPr>
              <w:pStyle w:val="Tabletext"/>
            </w:pPr>
          </w:p>
        </w:tc>
        <w:tc>
          <w:tcPr>
            <w:tcW w:w="1497" w:type="dxa"/>
            <w:shd w:val="clear" w:color="auto" w:fill="auto"/>
          </w:tcPr>
          <w:p w:rsidR="001453A9" w:rsidRPr="00227E3E" w:rsidRDefault="001453A9" w:rsidP="0030549F">
            <w:pPr>
              <w:pStyle w:val="Tabletext"/>
            </w:pPr>
            <w:r>
              <w:t>Year 11 – Autumn (2)</w:t>
            </w:r>
          </w:p>
        </w:tc>
        <w:tc>
          <w:tcPr>
            <w:tcW w:w="2779" w:type="dxa"/>
            <w:shd w:val="clear" w:color="auto" w:fill="auto"/>
          </w:tcPr>
          <w:p w:rsidR="006D41F3" w:rsidRPr="00D75B15" w:rsidRDefault="00C866CE" w:rsidP="0030549F">
            <w:pPr>
              <w:pStyle w:val="Tabletext"/>
            </w:pPr>
            <w:r w:rsidRPr="000760C8">
              <w:t>International and global dimension</w:t>
            </w:r>
          </w:p>
        </w:tc>
        <w:tc>
          <w:tcPr>
            <w:tcW w:w="3326" w:type="dxa"/>
            <w:shd w:val="clear" w:color="auto" w:fill="auto"/>
          </w:tcPr>
          <w:p w:rsidR="00C866CE" w:rsidRDefault="00C866CE" w:rsidP="0030549F">
            <w:pPr>
              <w:pStyle w:val="Tabletext"/>
            </w:pPr>
            <w:r w:rsidRPr="000760C8">
              <w:t>Bringing the world together</w:t>
            </w:r>
          </w:p>
          <w:p w:rsidR="00D75B15" w:rsidRPr="00D75B15" w:rsidRDefault="00C866CE" w:rsidP="0030549F">
            <w:pPr>
              <w:pStyle w:val="Tabletext"/>
            </w:pPr>
            <w:r w:rsidRPr="000760C8">
              <w:t>Environmental issues</w:t>
            </w:r>
          </w:p>
        </w:tc>
        <w:tc>
          <w:tcPr>
            <w:tcW w:w="6214" w:type="dxa"/>
          </w:tcPr>
          <w:p w:rsidR="008F052D" w:rsidRDefault="00C91F05" w:rsidP="00C91F05">
            <w:pPr>
              <w:pStyle w:val="Tabletext"/>
            </w:pPr>
            <w:r>
              <w:t>– emphatic pronouns</w:t>
            </w:r>
          </w:p>
          <w:p w:rsidR="00D75B15" w:rsidRDefault="00C91F05" w:rsidP="00C91F05">
            <w:pPr>
              <w:pStyle w:val="Tabletext"/>
            </w:pPr>
            <w:r>
              <w:t>– pluperfect tense</w:t>
            </w:r>
          </w:p>
          <w:p w:rsidR="008F052D" w:rsidRDefault="00C91F05" w:rsidP="00C91F05">
            <w:pPr>
              <w:pStyle w:val="Tabletext"/>
            </w:pPr>
            <w:r>
              <w:t>– dealing with numbers and percentages</w:t>
            </w:r>
          </w:p>
          <w:p w:rsidR="008F052D" w:rsidRDefault="00C91F05" w:rsidP="00C91F05">
            <w:pPr>
              <w:pStyle w:val="Tabletext"/>
            </w:pPr>
            <w:r>
              <w:t xml:space="preserve">– passive voice </w:t>
            </w:r>
          </w:p>
          <w:p w:rsidR="008F052D" w:rsidRDefault="00C91F05" w:rsidP="00C91F05">
            <w:pPr>
              <w:pStyle w:val="Tabletext"/>
            </w:pPr>
            <w:r>
              <w:t xml:space="preserve">– </w:t>
            </w:r>
            <w:proofErr w:type="spellStart"/>
            <w:r>
              <w:rPr>
                <w:i/>
              </w:rPr>
              <w:t>quello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che</w:t>
            </w:r>
            <w:proofErr w:type="spellEnd"/>
            <w:r>
              <w:t xml:space="preserve"> </w:t>
            </w:r>
          </w:p>
          <w:p w:rsidR="008F052D" w:rsidRDefault="00C91F05" w:rsidP="00C91F05">
            <w:pPr>
              <w:pStyle w:val="Tabletext"/>
            </w:pPr>
            <w:r>
              <w:t>– using the present tense</w:t>
            </w:r>
          </w:p>
          <w:p w:rsidR="008F052D" w:rsidRDefault="00C91F05" w:rsidP="00C91F05">
            <w:pPr>
              <w:pStyle w:val="Tabletext"/>
              <w:rPr>
                <w:i/>
              </w:rPr>
            </w:pPr>
            <w:r>
              <w:t xml:space="preserve">– </w:t>
            </w:r>
            <w:proofErr w:type="spellStart"/>
            <w:r>
              <w:rPr>
                <w:i/>
              </w:rPr>
              <w:t>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può</w:t>
            </w:r>
            <w:proofErr w:type="spellEnd"/>
            <w:r>
              <w:t xml:space="preserve"> and </w:t>
            </w:r>
            <w:proofErr w:type="spellStart"/>
            <w:r>
              <w:rPr>
                <w:i/>
              </w:rPr>
              <w:t>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deve</w:t>
            </w:r>
            <w:proofErr w:type="spellEnd"/>
          </w:p>
          <w:p w:rsidR="008F052D" w:rsidRPr="00132C5A" w:rsidRDefault="00C91F05" w:rsidP="00C91F05">
            <w:pPr>
              <w:pStyle w:val="Tabletext"/>
            </w:pPr>
            <w:r>
              <w:t>– verbs with prepositions before an infinitive</w:t>
            </w:r>
          </w:p>
          <w:p w:rsidR="008F052D" w:rsidRPr="00D569F2" w:rsidRDefault="00C91F05" w:rsidP="00C91F05">
            <w:pPr>
              <w:pStyle w:val="Tabletext"/>
            </w:pPr>
            <w:r>
              <w:t>– impersonal verbs and constructions</w:t>
            </w:r>
          </w:p>
        </w:tc>
      </w:tr>
      <w:tr w:rsidR="000760C8" w:rsidRPr="00227E3E" w:rsidTr="000D123E">
        <w:tc>
          <w:tcPr>
            <w:tcW w:w="466" w:type="dxa"/>
            <w:gridSpan w:val="2"/>
            <w:shd w:val="clear" w:color="auto" w:fill="DEE1EA"/>
          </w:tcPr>
          <w:p w:rsidR="000760C8" w:rsidRPr="00227E3E" w:rsidRDefault="000760C8" w:rsidP="00C63D22">
            <w:pPr>
              <w:pStyle w:val="Tablehead"/>
            </w:pPr>
          </w:p>
        </w:tc>
        <w:tc>
          <w:tcPr>
            <w:tcW w:w="1497" w:type="dxa"/>
            <w:shd w:val="clear" w:color="auto" w:fill="DEE1EA"/>
          </w:tcPr>
          <w:p w:rsidR="000760C8" w:rsidRPr="00227E3E" w:rsidRDefault="000760C8" w:rsidP="00C63D22">
            <w:pPr>
              <w:pStyle w:val="Tablehead"/>
            </w:pPr>
            <w:r>
              <w:t>Term</w:t>
            </w:r>
          </w:p>
        </w:tc>
        <w:tc>
          <w:tcPr>
            <w:tcW w:w="2779" w:type="dxa"/>
            <w:shd w:val="clear" w:color="auto" w:fill="DEE1EA"/>
          </w:tcPr>
          <w:p w:rsidR="000760C8" w:rsidRPr="00227E3E" w:rsidRDefault="000760C8" w:rsidP="00C63D22">
            <w:pPr>
              <w:pStyle w:val="Tablehead"/>
            </w:pPr>
            <w:r>
              <w:t>Theme</w:t>
            </w:r>
          </w:p>
        </w:tc>
        <w:tc>
          <w:tcPr>
            <w:tcW w:w="3326" w:type="dxa"/>
            <w:shd w:val="clear" w:color="auto" w:fill="DEE1EA"/>
          </w:tcPr>
          <w:p w:rsidR="000760C8" w:rsidRPr="00227E3E" w:rsidRDefault="000760C8" w:rsidP="00C63D22">
            <w:pPr>
              <w:pStyle w:val="Tablehead"/>
            </w:pPr>
            <w:r>
              <w:t>Sub-theme(s)</w:t>
            </w:r>
          </w:p>
        </w:tc>
        <w:tc>
          <w:tcPr>
            <w:tcW w:w="6214" w:type="dxa"/>
            <w:shd w:val="clear" w:color="auto" w:fill="DEE1EA"/>
          </w:tcPr>
          <w:p w:rsidR="000760C8" w:rsidRDefault="000760C8" w:rsidP="00C63D22">
            <w:pPr>
              <w:pStyle w:val="Tablehead"/>
            </w:pPr>
            <w:r>
              <w:t>Grammar</w:t>
            </w:r>
          </w:p>
        </w:tc>
      </w:tr>
      <w:tr w:rsidR="00494331" w:rsidRPr="00933B7E" w:rsidTr="000D123E">
        <w:tc>
          <w:tcPr>
            <w:tcW w:w="466" w:type="dxa"/>
            <w:gridSpan w:val="2"/>
            <w:vMerge w:val="restart"/>
            <w:shd w:val="clear" w:color="auto" w:fill="auto"/>
          </w:tcPr>
          <w:p w:rsidR="001453A9" w:rsidRDefault="001453A9" w:rsidP="00B2138D">
            <w:pPr>
              <w:pStyle w:val="Tabletext"/>
            </w:pPr>
            <w:r>
              <w:t>5</w:t>
            </w:r>
          </w:p>
        </w:tc>
        <w:tc>
          <w:tcPr>
            <w:tcW w:w="1497" w:type="dxa"/>
            <w:shd w:val="clear" w:color="auto" w:fill="auto"/>
          </w:tcPr>
          <w:p w:rsidR="001453A9" w:rsidRDefault="001453A9" w:rsidP="0030549F">
            <w:pPr>
              <w:pStyle w:val="Tabletext"/>
            </w:pPr>
            <w:r>
              <w:t>Year 11 – Spring (1)</w:t>
            </w:r>
          </w:p>
        </w:tc>
        <w:tc>
          <w:tcPr>
            <w:tcW w:w="2779" w:type="dxa"/>
            <w:shd w:val="clear" w:color="auto" w:fill="auto"/>
          </w:tcPr>
          <w:p w:rsidR="0040595F" w:rsidRPr="000760C8" w:rsidRDefault="000760C8" w:rsidP="0030549F">
            <w:pPr>
              <w:pStyle w:val="Tabletext"/>
            </w:pPr>
            <w:r w:rsidRPr="000760C8">
              <w:t>International and global dimension</w:t>
            </w:r>
          </w:p>
        </w:tc>
        <w:tc>
          <w:tcPr>
            <w:tcW w:w="3326" w:type="dxa"/>
            <w:shd w:val="clear" w:color="auto" w:fill="auto"/>
          </w:tcPr>
          <w:p w:rsidR="001453A9" w:rsidRPr="000760C8" w:rsidRDefault="00C866CE" w:rsidP="00C866CE">
            <w:pPr>
              <w:pStyle w:val="Tabletext"/>
            </w:pPr>
            <w:r w:rsidRPr="000760C8">
              <w:t>Bringing the world together</w:t>
            </w:r>
          </w:p>
        </w:tc>
        <w:tc>
          <w:tcPr>
            <w:tcW w:w="6214" w:type="dxa"/>
          </w:tcPr>
          <w:p w:rsidR="00002C75" w:rsidRDefault="000D123E" w:rsidP="000D123E">
            <w:pPr>
              <w:pStyle w:val="Tabletext"/>
            </w:pPr>
            <w:r>
              <w:t>– past, present and future time frames</w:t>
            </w:r>
          </w:p>
          <w:p w:rsidR="000D123E" w:rsidRDefault="000D123E" w:rsidP="000D123E">
            <w:pPr>
              <w:pStyle w:val="Tabletext"/>
            </w:pPr>
            <w:r>
              <w:t>– revision of perfect, imperfect and conditional tenses</w:t>
            </w:r>
          </w:p>
          <w:p w:rsidR="000D123E" w:rsidRDefault="000D123E" w:rsidP="000D123E">
            <w:pPr>
              <w:pStyle w:val="Tabletext"/>
            </w:pPr>
            <w:r>
              <w:t>– [H] impersonal constructions</w:t>
            </w:r>
          </w:p>
          <w:p w:rsidR="000D123E" w:rsidRDefault="000D123E" w:rsidP="000D123E">
            <w:pPr>
              <w:pStyle w:val="Tabletext"/>
            </w:pPr>
            <w:r>
              <w:t>– [H] conditional perfect (r)</w:t>
            </w:r>
          </w:p>
          <w:p w:rsidR="000D123E" w:rsidRDefault="000D123E" w:rsidP="000D123E">
            <w:pPr>
              <w:pStyle w:val="Tabletext"/>
            </w:pPr>
            <w:r>
              <w:t>– [H] future perfect (r)</w:t>
            </w:r>
          </w:p>
          <w:p w:rsidR="000D123E" w:rsidRPr="00002C75" w:rsidRDefault="000D123E" w:rsidP="000D123E">
            <w:pPr>
              <w:pStyle w:val="Tabletext"/>
            </w:pPr>
            <w:r>
              <w:t>– giving opinions and justifications</w:t>
            </w:r>
          </w:p>
        </w:tc>
      </w:tr>
      <w:tr w:rsidR="00C866CE" w:rsidRPr="006B092C" w:rsidTr="000D123E">
        <w:tc>
          <w:tcPr>
            <w:tcW w:w="466" w:type="dxa"/>
            <w:gridSpan w:val="2"/>
            <w:vMerge/>
            <w:shd w:val="clear" w:color="auto" w:fill="auto"/>
          </w:tcPr>
          <w:p w:rsidR="00C866CE" w:rsidRDefault="00C866CE" w:rsidP="00B2138D">
            <w:pPr>
              <w:pStyle w:val="Tabletext"/>
            </w:pPr>
          </w:p>
        </w:tc>
        <w:tc>
          <w:tcPr>
            <w:tcW w:w="1497" w:type="dxa"/>
            <w:shd w:val="clear" w:color="auto" w:fill="auto"/>
          </w:tcPr>
          <w:p w:rsidR="00C866CE" w:rsidRDefault="00C866CE" w:rsidP="0030549F">
            <w:pPr>
              <w:pStyle w:val="Tabletext"/>
            </w:pPr>
            <w:r>
              <w:t>Year 11 – Spring (2)</w:t>
            </w:r>
          </w:p>
        </w:tc>
        <w:tc>
          <w:tcPr>
            <w:tcW w:w="12319" w:type="dxa"/>
            <w:gridSpan w:val="3"/>
            <w:shd w:val="clear" w:color="auto" w:fill="auto"/>
          </w:tcPr>
          <w:p w:rsidR="00C866CE" w:rsidRPr="00D16640" w:rsidRDefault="00C866CE" w:rsidP="0030549F">
            <w:pPr>
              <w:pStyle w:val="Tabletext"/>
            </w:pPr>
            <w:r>
              <w:t>Revision</w:t>
            </w:r>
          </w:p>
        </w:tc>
      </w:tr>
      <w:tr w:rsidR="001453A9" w:rsidRPr="006B092C" w:rsidTr="000D123E">
        <w:tc>
          <w:tcPr>
            <w:tcW w:w="466" w:type="dxa"/>
            <w:gridSpan w:val="2"/>
            <w:shd w:val="clear" w:color="auto" w:fill="auto"/>
          </w:tcPr>
          <w:p w:rsidR="001453A9" w:rsidRDefault="001453A9" w:rsidP="00B2138D">
            <w:pPr>
              <w:pStyle w:val="Tabletext"/>
            </w:pPr>
            <w:r>
              <w:t>6</w:t>
            </w:r>
          </w:p>
        </w:tc>
        <w:tc>
          <w:tcPr>
            <w:tcW w:w="1497" w:type="dxa"/>
            <w:shd w:val="clear" w:color="auto" w:fill="auto"/>
          </w:tcPr>
          <w:p w:rsidR="001453A9" w:rsidRDefault="001453A9" w:rsidP="0030549F">
            <w:pPr>
              <w:pStyle w:val="Tabletext"/>
            </w:pPr>
            <w:r>
              <w:t>Year 11 Summer</w:t>
            </w:r>
          </w:p>
        </w:tc>
        <w:tc>
          <w:tcPr>
            <w:tcW w:w="12319" w:type="dxa"/>
            <w:gridSpan w:val="3"/>
            <w:shd w:val="clear" w:color="auto" w:fill="auto"/>
          </w:tcPr>
          <w:p w:rsidR="001453A9" w:rsidRDefault="00E10FB8" w:rsidP="0030549F">
            <w:pPr>
              <w:pStyle w:val="Tabletext"/>
            </w:pPr>
            <w:r>
              <w:t>Revision</w:t>
            </w:r>
          </w:p>
        </w:tc>
      </w:tr>
    </w:tbl>
    <w:p w:rsidR="00454121" w:rsidRDefault="00454121"/>
    <w:sectPr w:rsidR="00454121" w:rsidSect="00F215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998" w:bottom="1440" w:left="1440" w:header="28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BF5" w:rsidRDefault="00572BF5" w:rsidP="00F8358C">
      <w:pPr>
        <w:spacing w:after="0" w:line="240" w:lineRule="auto"/>
      </w:pPr>
      <w:r>
        <w:separator/>
      </w:r>
    </w:p>
  </w:endnote>
  <w:endnote w:type="continuationSeparator" w:id="0">
    <w:p w:rsidR="00572BF5" w:rsidRDefault="00572BF5" w:rsidP="00F8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2A" w:rsidRDefault="00321F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5BD" w:rsidRDefault="00F215BD" w:rsidP="00F215BD">
    <w:pPr>
      <w:framePr w:h="284" w:hRule="exact" w:hSpace="284" w:vSpace="255" w:wrap="around" w:vAnchor="text" w:hAnchor="page" w:xAlign="outside" w:y="86"/>
      <w:ind w:left="-450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1754C0">
      <w:rPr>
        <w:rStyle w:val="PageNumber"/>
        <w:noProof/>
      </w:rPr>
      <w:t>8</w:t>
    </w:r>
    <w:r w:rsidRPr="00EE1556">
      <w:rPr>
        <w:rStyle w:val="PageNumber"/>
      </w:rPr>
      <w:fldChar w:fldCharType="end"/>
    </w:r>
  </w:p>
  <w:p w:rsidR="00F215BD" w:rsidRPr="00F215BD" w:rsidRDefault="00F215BD" w:rsidP="000577E3">
    <w:pPr>
      <w:pStyle w:val="Footer"/>
      <w:ind w:left="-180" w:right="-180"/>
      <w:rPr>
        <w:szCs w:val="15"/>
      </w:rPr>
    </w:pPr>
    <w:r w:rsidRPr="00F215BD">
      <w:rPr>
        <w:szCs w:val="15"/>
      </w:rPr>
      <w:t xml:space="preserve">© Pearson </w:t>
    </w:r>
    <w:r w:rsidRPr="00F215BD">
      <w:rPr>
        <w:noProof/>
        <w:szCs w:val="15"/>
        <w:lang w:eastAsia="en-GB"/>
      </w:rPr>
      <w:t>Education</w:t>
    </w:r>
    <w:r>
      <w:rPr>
        <w:szCs w:val="15"/>
      </w:rPr>
      <w:t xml:space="preserve"> Ltd 2016</w:t>
    </w:r>
    <w:r w:rsidRPr="00F215BD">
      <w:rPr>
        <w:szCs w:val="15"/>
      </w:rPr>
      <w:t xml:space="preserve">. Copying permitted for purchasing institution only. This </w:t>
    </w:r>
    <w:r>
      <w:rPr>
        <w:szCs w:val="15"/>
      </w:rPr>
      <w:t>material is not copyright free.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2A" w:rsidRDefault="00321F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BF5" w:rsidRDefault="00572BF5" w:rsidP="00F8358C">
      <w:pPr>
        <w:spacing w:after="0" w:line="240" w:lineRule="auto"/>
      </w:pPr>
      <w:r>
        <w:separator/>
      </w:r>
    </w:p>
  </w:footnote>
  <w:footnote w:type="continuationSeparator" w:id="0">
    <w:p w:rsidR="00572BF5" w:rsidRDefault="00572BF5" w:rsidP="00F8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2A" w:rsidRDefault="00321F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8C" w:rsidRDefault="00B651E1" w:rsidP="00F8358C">
    <w:pPr>
      <w:pStyle w:val="Header"/>
      <w:ind w:left="-1080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7686675</wp:posOffset>
          </wp:positionH>
          <wp:positionV relativeFrom="paragraph">
            <wp:posOffset>64770</wp:posOffset>
          </wp:positionV>
          <wp:extent cx="1762125" cy="38100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381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3EB8BBEB" wp14:editId="500DF678">
          <wp:extent cx="10239375" cy="5162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CSE_BANNERS_landscape_I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4155" cy="526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F2A" w:rsidRDefault="00321F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3CA"/>
    <w:multiLevelType w:val="multilevel"/>
    <w:tmpl w:val="75D28C06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" w15:restartNumberingAfterBreak="0">
    <w:nsid w:val="14CB538B"/>
    <w:multiLevelType w:val="hybridMultilevel"/>
    <w:tmpl w:val="2DC6636E"/>
    <w:lvl w:ilvl="0" w:tplc="08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89D6F32"/>
    <w:multiLevelType w:val="multilevel"/>
    <w:tmpl w:val="29505346"/>
    <w:styleLink w:val="Listtable"/>
    <w:lvl w:ilvl="0">
      <w:start w:val="1"/>
      <w:numFmt w:val="decimal"/>
      <w:pStyle w:val="Tabletextnumberedlist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9410486"/>
    <w:multiLevelType w:val="hybridMultilevel"/>
    <w:tmpl w:val="F76A2600"/>
    <w:lvl w:ilvl="0" w:tplc="16066620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B4F07"/>
    <w:multiLevelType w:val="hybridMultilevel"/>
    <w:tmpl w:val="E5B876C2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A634C4B"/>
    <w:multiLevelType w:val="hybridMultilevel"/>
    <w:tmpl w:val="44246DCC"/>
    <w:lvl w:ilvl="0" w:tplc="B8041970">
      <w:start w:val="1"/>
      <w:numFmt w:val="bullet"/>
      <w:pStyle w:val="Feature1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F3715"/>
    <w:multiLevelType w:val="multilevel"/>
    <w:tmpl w:val="ED30E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6FE7BF7"/>
    <w:multiLevelType w:val="hybridMultilevel"/>
    <w:tmpl w:val="3AF67CD6"/>
    <w:lvl w:ilvl="0" w:tplc="94F04520">
      <w:start w:val="1"/>
      <w:numFmt w:val="bullet"/>
      <w:pStyle w:val="objectives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B60EB"/>
    <w:multiLevelType w:val="hybridMultilevel"/>
    <w:tmpl w:val="B9E8A5C0"/>
    <w:lvl w:ilvl="0" w:tplc="08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E279B0"/>
    <w:multiLevelType w:val="multilevel"/>
    <w:tmpl w:val="29505346"/>
    <w:numStyleLink w:val="Listtable"/>
  </w:abstractNum>
  <w:abstractNum w:abstractNumId="10" w15:restartNumberingAfterBreak="0">
    <w:nsid w:val="697B65A6"/>
    <w:multiLevelType w:val="multilevel"/>
    <w:tmpl w:val="93BAB7C8"/>
    <w:styleLink w:val="Listfeature"/>
    <w:lvl w:ilvl="0">
      <w:start w:val="1"/>
      <w:numFmt w:val="decimal"/>
      <w:pStyle w:val="Feature1textnumberedlist"/>
      <w:lvlText w:val="%1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36E226D"/>
    <w:multiLevelType w:val="multilevel"/>
    <w:tmpl w:val="AE5A5A74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75E357D0"/>
    <w:multiLevelType w:val="hybridMultilevel"/>
    <w:tmpl w:val="51C8F19A"/>
    <w:lvl w:ilvl="0" w:tplc="53BE31E4">
      <w:start w:val="1"/>
      <w:numFmt w:val="bullet"/>
      <w:pStyle w:val="Feature2text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0377C"/>
    <w:multiLevelType w:val="multilevel"/>
    <w:tmpl w:val="0472FC3E"/>
    <w:styleLink w:val="Listnum"/>
    <w:lvl w:ilvl="0">
      <w:start w:val="1"/>
      <w:numFmt w:val="decimal"/>
      <w:pStyle w:val="Feature2textnumberedlist"/>
      <w:lvlText w:val="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12"/>
  </w:num>
  <w:num w:numId="6">
    <w:abstractNumId w:val="6"/>
  </w:num>
  <w:num w:numId="7">
    <w:abstractNumId w:val="11"/>
  </w:num>
  <w:num w:numId="8">
    <w:abstractNumId w:val="10"/>
  </w:num>
  <w:num w:numId="9">
    <w:abstractNumId w:val="13"/>
  </w:num>
  <w:num w:numId="10">
    <w:abstractNumId w:val="0"/>
  </w:num>
  <w:num w:numId="11">
    <w:abstractNumId w:val="2"/>
  </w:num>
  <w:num w:numId="12">
    <w:abstractNumId w:val="13"/>
  </w:num>
  <w:num w:numId="13">
    <w:abstractNumId w:val="0"/>
  </w:num>
  <w:num w:numId="14">
    <w:abstractNumId w:val="9"/>
  </w:num>
  <w:num w:numId="15">
    <w:abstractNumId w:val="1"/>
  </w:num>
  <w:num w:numId="16">
    <w:abstractNumId w:val="8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58C"/>
    <w:rsid w:val="00002C75"/>
    <w:rsid w:val="000577E3"/>
    <w:rsid w:val="000760C8"/>
    <w:rsid w:val="000B1A30"/>
    <w:rsid w:val="000B29FB"/>
    <w:rsid w:val="000D123E"/>
    <w:rsid w:val="000E6A1D"/>
    <w:rsid w:val="001453A9"/>
    <w:rsid w:val="00147E88"/>
    <w:rsid w:val="001754C0"/>
    <w:rsid w:val="001F73A6"/>
    <w:rsid w:val="002053A7"/>
    <w:rsid w:val="00205C5D"/>
    <w:rsid w:val="0027042E"/>
    <w:rsid w:val="00275D40"/>
    <w:rsid w:val="0028479E"/>
    <w:rsid w:val="002A6100"/>
    <w:rsid w:val="002A6609"/>
    <w:rsid w:val="0030549F"/>
    <w:rsid w:val="00321F2A"/>
    <w:rsid w:val="00326257"/>
    <w:rsid w:val="0037688F"/>
    <w:rsid w:val="003D762D"/>
    <w:rsid w:val="003F7D32"/>
    <w:rsid w:val="0040595F"/>
    <w:rsid w:val="004150A2"/>
    <w:rsid w:val="00454121"/>
    <w:rsid w:val="0048773A"/>
    <w:rsid w:val="00494331"/>
    <w:rsid w:val="004F6BE4"/>
    <w:rsid w:val="0052469F"/>
    <w:rsid w:val="00572BF5"/>
    <w:rsid w:val="005C5542"/>
    <w:rsid w:val="005D0B04"/>
    <w:rsid w:val="006710A7"/>
    <w:rsid w:val="00677401"/>
    <w:rsid w:val="006D1161"/>
    <w:rsid w:val="006D41F3"/>
    <w:rsid w:val="006F156D"/>
    <w:rsid w:val="00707DE8"/>
    <w:rsid w:val="00721086"/>
    <w:rsid w:val="00814841"/>
    <w:rsid w:val="008875AC"/>
    <w:rsid w:val="008F052D"/>
    <w:rsid w:val="00946AF0"/>
    <w:rsid w:val="00973040"/>
    <w:rsid w:val="009800BA"/>
    <w:rsid w:val="009E1472"/>
    <w:rsid w:val="00A602EE"/>
    <w:rsid w:val="00B651E1"/>
    <w:rsid w:val="00C0609D"/>
    <w:rsid w:val="00C46E3C"/>
    <w:rsid w:val="00C572C0"/>
    <w:rsid w:val="00C673BA"/>
    <w:rsid w:val="00C866CE"/>
    <w:rsid w:val="00C91F05"/>
    <w:rsid w:val="00CA39ED"/>
    <w:rsid w:val="00CA4291"/>
    <w:rsid w:val="00CA4D1D"/>
    <w:rsid w:val="00D02507"/>
    <w:rsid w:val="00D16640"/>
    <w:rsid w:val="00D569F2"/>
    <w:rsid w:val="00D6520A"/>
    <w:rsid w:val="00D75B15"/>
    <w:rsid w:val="00D805B9"/>
    <w:rsid w:val="00DB6B05"/>
    <w:rsid w:val="00DD0C5A"/>
    <w:rsid w:val="00DD4444"/>
    <w:rsid w:val="00DE2821"/>
    <w:rsid w:val="00E10FB8"/>
    <w:rsid w:val="00E51E8D"/>
    <w:rsid w:val="00E96094"/>
    <w:rsid w:val="00F215BD"/>
    <w:rsid w:val="00F8358C"/>
    <w:rsid w:val="00FB10CE"/>
    <w:rsid w:val="00FE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E54BB1-A9C8-4D26-B0E1-259B6F58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5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58C"/>
  </w:style>
  <w:style w:type="paragraph" w:styleId="Footer">
    <w:name w:val="footer"/>
    <w:link w:val="FooterChar"/>
    <w:rsid w:val="00D02507"/>
    <w:pPr>
      <w:pBdr>
        <w:top w:val="single" w:sz="8" w:space="3" w:color="002656"/>
      </w:pBdr>
      <w:spacing w:after="0" w:line="240" w:lineRule="auto"/>
      <w:ind w:right="-567"/>
    </w:pPr>
    <w:rPr>
      <w:rFonts w:ascii="Verdana" w:eastAsia="Times New Roman" w:hAnsi="Verdana" w:cs="Times New Roman"/>
      <w:sz w:val="15"/>
      <w:szCs w:val="24"/>
    </w:rPr>
  </w:style>
  <w:style w:type="character" w:customStyle="1" w:styleId="FooterChar">
    <w:name w:val="Footer Char"/>
    <w:basedOn w:val="DefaultParagraphFont"/>
    <w:link w:val="Footer"/>
    <w:rsid w:val="00F8358C"/>
    <w:rPr>
      <w:rFonts w:ascii="Verdana" w:eastAsia="Times New Roman" w:hAnsi="Verdana" w:cs="Times New Roman"/>
      <w:sz w:val="15"/>
      <w:szCs w:val="24"/>
    </w:rPr>
  </w:style>
  <w:style w:type="character" w:styleId="PageNumber">
    <w:name w:val="page number"/>
    <w:rsid w:val="00D02507"/>
    <w:rPr>
      <w:rFonts w:ascii="Verdana" w:hAnsi="Verdana"/>
      <w:b/>
      <w:color w:val="002656"/>
      <w:sz w:val="20"/>
    </w:rPr>
  </w:style>
  <w:style w:type="paragraph" w:customStyle="1" w:styleId="Unithead">
    <w:name w:val="Unit head"/>
    <w:next w:val="BodyText1"/>
    <w:qFormat/>
    <w:rsid w:val="001453A9"/>
    <w:pPr>
      <w:spacing w:before="240" w:after="120" w:line="600" w:lineRule="exact"/>
    </w:pPr>
    <w:rPr>
      <w:rFonts w:ascii="Verdana" w:eastAsia="Times New Roman" w:hAnsi="Verdana" w:cs="Times New Roman"/>
      <w:color w:val="002656"/>
      <w:sz w:val="50"/>
      <w:szCs w:val="50"/>
      <w:lang w:eastAsia="en-GB"/>
    </w:rPr>
  </w:style>
  <w:style w:type="paragraph" w:customStyle="1" w:styleId="Ahead">
    <w:name w:val="A head"/>
    <w:next w:val="BodyText1"/>
    <w:qFormat/>
    <w:rsid w:val="00D02507"/>
    <w:pPr>
      <w:keepNext/>
      <w:spacing w:before="240" w:after="120" w:line="240" w:lineRule="auto"/>
      <w:ind w:right="851"/>
    </w:pPr>
    <w:rPr>
      <w:rFonts w:ascii="Verdana" w:eastAsia="Times New Roman" w:hAnsi="Verdana" w:cs="Times New Roman"/>
      <w:b/>
      <w:color w:val="002656"/>
      <w:sz w:val="34"/>
      <w:szCs w:val="24"/>
    </w:rPr>
  </w:style>
  <w:style w:type="paragraph" w:customStyle="1" w:styleId="BodyText1">
    <w:name w:val="Body Text1"/>
    <w:qFormat/>
    <w:rsid w:val="00D02507"/>
    <w:pPr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paragraph" w:customStyle="1" w:styleId="Tablehead">
    <w:name w:val="Table head"/>
    <w:next w:val="Tabletext"/>
    <w:qFormat/>
    <w:rsid w:val="001453A9"/>
    <w:pPr>
      <w:spacing w:before="80" w:after="60" w:line="240" w:lineRule="auto"/>
    </w:pPr>
    <w:rPr>
      <w:rFonts w:ascii="Verdana" w:eastAsia="Times New Roman" w:hAnsi="Verdana" w:cs="Arial"/>
      <w:b/>
      <w:szCs w:val="24"/>
    </w:rPr>
  </w:style>
  <w:style w:type="paragraph" w:customStyle="1" w:styleId="Tabletext">
    <w:name w:val="Table text"/>
    <w:qFormat/>
    <w:rsid w:val="001453A9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paragraph" w:styleId="TOC1">
    <w:name w:val="toc 1"/>
    <w:next w:val="TOC2"/>
    <w:uiPriority w:val="39"/>
    <w:rsid w:val="001453A9"/>
    <w:pPr>
      <w:widowControl w:val="0"/>
      <w:tabs>
        <w:tab w:val="right" w:pos="8789"/>
      </w:tabs>
      <w:spacing w:before="60" w:after="60" w:line="300" w:lineRule="atLeast"/>
      <w:ind w:right="284"/>
    </w:pPr>
    <w:rPr>
      <w:rFonts w:ascii="Verdana" w:eastAsia="Times New Roman" w:hAnsi="Verdana" w:cs="Times New Roman"/>
      <w:b/>
      <w:noProof/>
      <w:snapToGrid w:val="0"/>
      <w:sz w:val="26"/>
      <w:szCs w:val="20"/>
    </w:rPr>
  </w:style>
  <w:style w:type="paragraph" w:styleId="TOC2">
    <w:name w:val="toc 2"/>
    <w:next w:val="TOC3"/>
    <w:uiPriority w:val="39"/>
    <w:rsid w:val="001453A9"/>
    <w:pPr>
      <w:tabs>
        <w:tab w:val="right" w:pos="8789"/>
      </w:tabs>
      <w:spacing w:before="60" w:after="60" w:line="260" w:lineRule="atLeast"/>
      <w:ind w:left="425" w:right="284"/>
    </w:pPr>
    <w:rPr>
      <w:rFonts w:ascii="Verdana" w:eastAsia="Times New Roman" w:hAnsi="Verdana" w:cs="Times New Roman"/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453A9"/>
    <w:pPr>
      <w:spacing w:after="100"/>
      <w:ind w:left="440"/>
    </w:pPr>
  </w:style>
  <w:style w:type="character" w:customStyle="1" w:styleId="Heading1Char">
    <w:name w:val="Heading 1 Char"/>
    <w:basedOn w:val="DefaultParagraphFont"/>
    <w:link w:val="Heading1"/>
    <w:uiPriority w:val="9"/>
    <w:rsid w:val="00D025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lphalist">
    <w:name w:val="Alpha list"/>
    <w:qFormat/>
    <w:rsid w:val="00D02507"/>
    <w:pPr>
      <w:numPr>
        <w:numId w:val="7"/>
      </w:numPr>
      <w:spacing w:before="80" w:after="60" w:line="240" w:lineRule="atLeast"/>
      <w:ind w:right="851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Bhead">
    <w:name w:val="B head"/>
    <w:next w:val="BodyText1"/>
    <w:qFormat/>
    <w:rsid w:val="00D02507"/>
    <w:pPr>
      <w:keepNext/>
      <w:spacing w:before="240" w:after="120" w:line="240" w:lineRule="auto"/>
      <w:ind w:right="851"/>
    </w:pPr>
    <w:rPr>
      <w:rFonts w:ascii="Verdana" w:eastAsia="Times New Roman" w:hAnsi="Verdana" w:cs="Arial"/>
      <w:b/>
      <w:color w:val="002656"/>
      <w:sz w:val="28"/>
      <w:szCs w:val="24"/>
    </w:rPr>
  </w:style>
  <w:style w:type="paragraph" w:customStyle="1" w:styleId="Bullets">
    <w:name w:val="Bullets"/>
    <w:qFormat/>
    <w:rsid w:val="00D02507"/>
    <w:pPr>
      <w:numPr>
        <w:numId w:val="2"/>
      </w:numPr>
      <w:tabs>
        <w:tab w:val="clear" w:pos="397"/>
      </w:tabs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paragraph" w:customStyle="1" w:styleId="Chead">
    <w:name w:val="C head"/>
    <w:next w:val="BodyText1"/>
    <w:qFormat/>
    <w:rsid w:val="00D02507"/>
    <w:pPr>
      <w:keepNext/>
      <w:spacing w:before="240" w:after="120" w:line="240" w:lineRule="auto"/>
      <w:ind w:right="851"/>
    </w:pPr>
    <w:rPr>
      <w:rFonts w:ascii="Verdana" w:eastAsia="Times New Roman" w:hAnsi="Verdana" w:cs="Arial"/>
      <w:b/>
      <w:color w:val="002656"/>
      <w:szCs w:val="24"/>
    </w:rPr>
  </w:style>
  <w:style w:type="paragraph" w:customStyle="1" w:styleId="Chapternumber">
    <w:name w:val="Chapter number"/>
    <w:basedOn w:val="Unithead"/>
    <w:next w:val="BodyText1"/>
    <w:qFormat/>
    <w:rsid w:val="00D02507"/>
    <w:pPr>
      <w:spacing w:before="120" w:after="360"/>
    </w:pPr>
    <w:rPr>
      <w:b/>
    </w:rPr>
  </w:style>
  <w:style w:type="paragraph" w:customStyle="1" w:styleId="Feature1head">
    <w:name w:val="Feature 1 head"/>
    <w:next w:val="Normal"/>
    <w:qFormat/>
    <w:rsid w:val="00D02507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 w:line="240" w:lineRule="auto"/>
      <w:ind w:left="108" w:right="851"/>
    </w:pPr>
    <w:rPr>
      <w:rFonts w:ascii="Verdana" w:eastAsia="Times New Roman" w:hAnsi="Verdana" w:cs="Arial"/>
      <w:b/>
      <w:color w:val="002656"/>
      <w:szCs w:val="24"/>
    </w:rPr>
  </w:style>
  <w:style w:type="paragraph" w:customStyle="1" w:styleId="Feature1sub-head">
    <w:name w:val="Feature 1 sub-head"/>
    <w:next w:val="Normal"/>
    <w:qFormat/>
    <w:rsid w:val="00D02507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 w:line="240" w:lineRule="auto"/>
      <w:ind w:left="108" w:right="851"/>
    </w:pPr>
    <w:rPr>
      <w:rFonts w:ascii="Verdana" w:eastAsia="Times New Roman" w:hAnsi="Verdana" w:cs="Arial"/>
      <w:b/>
      <w:color w:val="002656"/>
      <w:sz w:val="20"/>
      <w:szCs w:val="24"/>
    </w:rPr>
  </w:style>
  <w:style w:type="paragraph" w:customStyle="1" w:styleId="Feature1text">
    <w:name w:val="Feature 1 text"/>
    <w:qFormat/>
    <w:rsid w:val="00D02507"/>
    <w:p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tabs>
        <w:tab w:val="left" w:pos="2114"/>
      </w:tabs>
      <w:spacing w:before="80" w:after="60" w:line="240" w:lineRule="atLeast"/>
      <w:ind w:left="108" w:right="851"/>
    </w:pPr>
    <w:rPr>
      <w:rFonts w:ascii="Verdana" w:eastAsia="Times New Roman" w:hAnsi="Verdana" w:cs="Arial"/>
      <w:sz w:val="20"/>
      <w:szCs w:val="24"/>
    </w:rPr>
  </w:style>
  <w:style w:type="paragraph" w:customStyle="1" w:styleId="Feature1textbullets">
    <w:name w:val="Feature 1 text bullets"/>
    <w:qFormat/>
    <w:rsid w:val="00D02507"/>
    <w:pPr>
      <w:numPr>
        <w:numId w:val="3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paragraph" w:customStyle="1" w:styleId="Feature1textnumberedlist">
    <w:name w:val="Feature 1 text numbered list"/>
    <w:qFormat/>
    <w:rsid w:val="00D02507"/>
    <w:pPr>
      <w:numPr>
        <w:numId w:val="8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hd w:val="clear" w:color="auto" w:fill="DEE1EA"/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paragraph" w:customStyle="1" w:styleId="Feature2head">
    <w:name w:val="Feature 2 head"/>
    <w:next w:val="Normal"/>
    <w:qFormat/>
    <w:rsid w:val="00D02507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uto"/>
      <w:ind w:left="108" w:right="851"/>
    </w:pPr>
    <w:rPr>
      <w:rFonts w:ascii="Verdana" w:eastAsia="Times New Roman" w:hAnsi="Verdana" w:cs="Arial"/>
      <w:b/>
      <w:color w:val="002656"/>
      <w:szCs w:val="24"/>
    </w:rPr>
  </w:style>
  <w:style w:type="paragraph" w:customStyle="1" w:styleId="Feature2sub-head">
    <w:name w:val="Feature 2 sub-head"/>
    <w:next w:val="Normal"/>
    <w:qFormat/>
    <w:rsid w:val="00D02507"/>
    <w:pPr>
      <w:keepNext/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uto"/>
      <w:ind w:left="108" w:right="851"/>
    </w:pPr>
    <w:rPr>
      <w:rFonts w:ascii="Verdana" w:eastAsia="Times New Roman" w:hAnsi="Verdana" w:cs="Arial"/>
      <w:b/>
      <w:color w:val="002656"/>
      <w:sz w:val="20"/>
      <w:szCs w:val="24"/>
    </w:rPr>
  </w:style>
  <w:style w:type="paragraph" w:customStyle="1" w:styleId="Feature2text">
    <w:name w:val="Feature 2 text"/>
    <w:qFormat/>
    <w:rsid w:val="00D02507"/>
    <w:p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tLeast"/>
      <w:ind w:left="108" w:right="851"/>
    </w:pPr>
    <w:rPr>
      <w:rFonts w:ascii="Verdana" w:eastAsia="Times New Roman" w:hAnsi="Verdana" w:cs="Arial"/>
      <w:sz w:val="20"/>
      <w:szCs w:val="24"/>
    </w:rPr>
  </w:style>
  <w:style w:type="paragraph" w:customStyle="1" w:styleId="Feature2textbullets">
    <w:name w:val="Feature 2 text bullets"/>
    <w:qFormat/>
    <w:rsid w:val="00D02507"/>
    <w:pPr>
      <w:numPr>
        <w:numId w:val="5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paragraph" w:customStyle="1" w:styleId="Feature2textnumberedlist">
    <w:name w:val="Feature 2 text numbered list"/>
    <w:qFormat/>
    <w:rsid w:val="00D02507"/>
    <w:pPr>
      <w:numPr>
        <w:numId w:val="12"/>
      </w:numPr>
      <w:pBdr>
        <w:top w:val="single" w:sz="4" w:space="2" w:color="002656"/>
        <w:left w:val="single" w:sz="4" w:space="4" w:color="002656"/>
        <w:bottom w:val="single" w:sz="4" w:space="2" w:color="002656"/>
        <w:right w:val="single" w:sz="4" w:space="4" w:color="002656"/>
      </w:pBdr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numbering" w:customStyle="1" w:styleId="Listalpha">
    <w:name w:val="List alpha"/>
    <w:basedOn w:val="NoList"/>
    <w:semiHidden/>
    <w:rsid w:val="00D02507"/>
    <w:pPr>
      <w:numPr>
        <w:numId w:val="1"/>
      </w:numPr>
    </w:pPr>
  </w:style>
  <w:style w:type="numbering" w:customStyle="1" w:styleId="Listfeature">
    <w:name w:val="List feature"/>
    <w:basedOn w:val="NoList"/>
    <w:semiHidden/>
    <w:rsid w:val="00D02507"/>
    <w:pPr>
      <w:numPr>
        <w:numId w:val="4"/>
      </w:numPr>
    </w:pPr>
  </w:style>
  <w:style w:type="numbering" w:customStyle="1" w:styleId="Listnum">
    <w:name w:val="List num"/>
    <w:basedOn w:val="NoList"/>
    <w:semiHidden/>
    <w:rsid w:val="00D02507"/>
    <w:pPr>
      <w:numPr>
        <w:numId w:val="9"/>
      </w:numPr>
    </w:pPr>
  </w:style>
  <w:style w:type="numbering" w:customStyle="1" w:styleId="Listroman">
    <w:name w:val="List roman"/>
    <w:basedOn w:val="NoList"/>
    <w:semiHidden/>
    <w:rsid w:val="00D02507"/>
    <w:pPr>
      <w:numPr>
        <w:numId w:val="10"/>
      </w:numPr>
    </w:pPr>
  </w:style>
  <w:style w:type="numbering" w:customStyle="1" w:styleId="Listtable">
    <w:name w:val="List table"/>
    <w:basedOn w:val="NoList"/>
    <w:semiHidden/>
    <w:rsid w:val="00D02507"/>
    <w:pPr>
      <w:numPr>
        <w:numId w:val="11"/>
      </w:numPr>
    </w:pPr>
  </w:style>
  <w:style w:type="paragraph" w:customStyle="1" w:styleId="Numberedlist">
    <w:name w:val="Numbered list"/>
    <w:qFormat/>
    <w:rsid w:val="00D02507"/>
    <w:pPr>
      <w:spacing w:before="80" w:after="60" w:line="240" w:lineRule="atLeast"/>
      <w:ind w:right="851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Romanlist">
    <w:name w:val="Roman list"/>
    <w:qFormat/>
    <w:rsid w:val="00D02507"/>
    <w:pPr>
      <w:numPr>
        <w:numId w:val="13"/>
      </w:numPr>
      <w:spacing w:before="80" w:after="60" w:line="240" w:lineRule="atLeast"/>
      <w:ind w:right="851"/>
    </w:pPr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Tabletextnumberedlist">
    <w:name w:val="Table text numbered list"/>
    <w:qFormat/>
    <w:rsid w:val="00D02507"/>
    <w:pPr>
      <w:numPr>
        <w:numId w:val="14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paragraph" w:customStyle="1" w:styleId="BodyText10">
    <w:name w:val="Body Text1"/>
    <w:qFormat/>
    <w:rsid w:val="00147E88"/>
    <w:pPr>
      <w:spacing w:before="80" w:after="60" w:line="240" w:lineRule="atLeast"/>
      <w:ind w:right="851"/>
    </w:pPr>
    <w:rPr>
      <w:rFonts w:ascii="Verdana" w:eastAsia="Times New Roman" w:hAnsi="Verdana" w:cs="Arial"/>
      <w:sz w:val="20"/>
      <w:szCs w:val="24"/>
    </w:rPr>
  </w:style>
  <w:style w:type="paragraph" w:customStyle="1" w:styleId="objectives">
    <w:name w:val="objectives"/>
    <w:basedOn w:val="Normal"/>
    <w:link w:val="objectivesChar"/>
    <w:qFormat/>
    <w:rsid w:val="0048773A"/>
    <w:pPr>
      <w:numPr>
        <w:numId w:val="18"/>
      </w:numPr>
      <w:spacing w:after="0" w:line="240" w:lineRule="auto"/>
      <w:ind w:left="284" w:hanging="284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objectivesChar">
    <w:name w:val="objectives Char"/>
    <w:link w:val="objectives"/>
    <w:rsid w:val="0048773A"/>
    <w:rPr>
      <w:rFonts w:ascii="Arial" w:eastAsia="MS Mincho" w:hAnsi="Arial" w:cs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46E3C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Wilson</dc:creator>
  <cp:keywords/>
  <dc:description/>
  <cp:lastModifiedBy>Dilloway, Jo</cp:lastModifiedBy>
  <cp:revision>16</cp:revision>
  <dcterms:created xsi:type="dcterms:W3CDTF">2016-11-08T11:27:00Z</dcterms:created>
  <dcterms:modified xsi:type="dcterms:W3CDTF">2017-02-02T09:39:00Z</dcterms:modified>
</cp:coreProperties>
</file>