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06C01" w14:textId="77777777" w:rsidR="00A93B89" w:rsidRPr="00B14A84" w:rsidRDefault="00A93B89" w:rsidP="00A93B89">
      <w:pPr>
        <w:shd w:val="clear" w:color="auto" w:fill="FFFFFF"/>
        <w:spacing w:after="0" w:line="495" w:lineRule="atLeast"/>
        <w:textAlignment w:val="baseline"/>
        <w:outlineLvl w:val="0"/>
        <w:rPr>
          <w:rFonts w:ascii="Arial" w:eastAsia="Times New Roman" w:hAnsi="Arial" w:cs="Arial"/>
          <w:color w:val="333333"/>
          <w:kern w:val="36"/>
          <w:sz w:val="36"/>
          <w:szCs w:val="42"/>
          <w:lang w:val="it-IT" w:eastAsia="en-GB"/>
        </w:rPr>
      </w:pPr>
      <w:r w:rsidRPr="00B14A84">
        <w:rPr>
          <w:rFonts w:ascii="Arial" w:eastAsia="Times New Roman" w:hAnsi="Arial" w:cs="Arial"/>
          <w:color w:val="333333"/>
          <w:kern w:val="36"/>
          <w:sz w:val="36"/>
          <w:szCs w:val="42"/>
          <w:lang w:val="it-IT" w:eastAsia="en-GB"/>
        </w:rPr>
        <w:t>Donne sempre più penalizzate: divise tra lavoro e famiglia</w:t>
      </w:r>
    </w:p>
    <w:p w14:paraId="742C58AC" w14:textId="77777777" w:rsidR="00A93B89" w:rsidRPr="00B14A84" w:rsidRDefault="00A93B89" w:rsidP="00A93B89">
      <w:pPr>
        <w:shd w:val="clear" w:color="auto" w:fill="FFFFFF"/>
        <w:spacing w:after="0" w:line="435" w:lineRule="atLeast"/>
        <w:textAlignment w:val="baseline"/>
        <w:outlineLvl w:val="2"/>
        <w:rPr>
          <w:rFonts w:ascii="Arial" w:eastAsia="Times New Roman" w:hAnsi="Arial" w:cs="Arial"/>
          <w:color w:val="333333"/>
          <w:sz w:val="24"/>
          <w:szCs w:val="36"/>
          <w:lang w:val="it-IT" w:eastAsia="en-GB"/>
        </w:rPr>
      </w:pPr>
      <w:r w:rsidRPr="00B14A84">
        <w:rPr>
          <w:rFonts w:ascii="Arial" w:eastAsia="Times New Roman" w:hAnsi="Arial" w:cs="Arial"/>
          <w:color w:val="333333"/>
          <w:sz w:val="24"/>
          <w:szCs w:val="36"/>
          <w:lang w:val="it-IT" w:eastAsia="en-GB"/>
        </w:rPr>
        <w:t>L'Italia ancora fanalino di coda in Europa per quanto riguarda la parità di genere</w:t>
      </w:r>
    </w:p>
    <w:p w14:paraId="6452B77E" w14:textId="77777777" w:rsidR="00A93B89" w:rsidRPr="00A93B89" w:rsidRDefault="00A93B89" w:rsidP="00A93B89">
      <w:pPr>
        <w:spacing w:after="0" w:line="240" w:lineRule="auto"/>
        <w:textAlignment w:val="baseline"/>
        <w:rPr>
          <w:rFonts w:ascii="Arial" w:eastAsia="Times New Roman" w:hAnsi="Arial" w:cs="Arial"/>
          <w:color w:val="333333"/>
          <w:sz w:val="24"/>
          <w:szCs w:val="24"/>
          <w:lang w:eastAsia="en-GB"/>
        </w:rPr>
      </w:pPr>
      <w:r w:rsidRPr="00A93B89">
        <w:rPr>
          <w:rFonts w:ascii="Arial" w:eastAsia="Times New Roman" w:hAnsi="Arial" w:cs="Arial"/>
          <w:noProof/>
          <w:color w:val="333333"/>
          <w:sz w:val="24"/>
          <w:szCs w:val="24"/>
          <w:lang w:eastAsia="en-GB"/>
        </w:rPr>
        <w:drawing>
          <wp:inline distT="0" distB="0" distL="0" distR="0" wp14:anchorId="1E899E03" wp14:editId="207F96D5">
            <wp:extent cx="4796790" cy="2701042"/>
            <wp:effectExtent l="0" t="0" r="3810" b="0"/>
            <wp:docPr id="1" name="Picture 1" descr="8 marzo, donne sempre più penalizzate: divise tra lavoro e famig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 marzo, donne sempre più penalizzate: divise tra lavoro e famigl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6617" cy="2706576"/>
                    </a:xfrm>
                    <a:prstGeom prst="rect">
                      <a:avLst/>
                    </a:prstGeom>
                    <a:noFill/>
                    <a:ln>
                      <a:noFill/>
                    </a:ln>
                  </pic:spPr>
                </pic:pic>
              </a:graphicData>
            </a:graphic>
          </wp:inline>
        </w:drawing>
      </w:r>
    </w:p>
    <w:p w14:paraId="54564419" w14:textId="77777777" w:rsidR="002A2E5E" w:rsidRDefault="002A2E5E" w:rsidP="002A2E5E">
      <w:pPr>
        <w:spacing w:after="0" w:line="276" w:lineRule="auto"/>
        <w:textAlignment w:val="baseline"/>
        <w:rPr>
          <w:rFonts w:ascii="Arial" w:eastAsia="Times New Roman" w:hAnsi="Arial" w:cs="Arial"/>
          <w:b/>
          <w:bCs/>
          <w:color w:val="666666"/>
          <w:sz w:val="24"/>
          <w:szCs w:val="24"/>
          <w:bdr w:val="none" w:sz="0" w:space="0" w:color="auto" w:frame="1"/>
          <w:lang w:val="it-IT" w:eastAsia="en-GB"/>
        </w:rPr>
      </w:pPr>
    </w:p>
    <w:p w14:paraId="0C7F5F6F" w14:textId="77777777" w:rsidR="002A2E5E" w:rsidRPr="002A2E5E" w:rsidRDefault="002A2E5E" w:rsidP="002A2E5E">
      <w:pPr>
        <w:spacing w:after="0" w:line="276" w:lineRule="auto"/>
        <w:textAlignment w:val="baseline"/>
        <w:rPr>
          <w:rFonts w:ascii="Arial" w:eastAsia="Times New Roman" w:hAnsi="Arial" w:cs="Arial"/>
          <w:bCs/>
          <w:i/>
          <w:color w:val="666666"/>
          <w:sz w:val="24"/>
          <w:szCs w:val="24"/>
          <w:bdr w:val="none" w:sz="0" w:space="0" w:color="auto" w:frame="1"/>
          <w:lang w:val="it-IT" w:eastAsia="en-GB"/>
        </w:rPr>
      </w:pPr>
      <w:r w:rsidRPr="002A2E5E">
        <w:rPr>
          <w:rFonts w:ascii="Arial" w:eastAsia="Times New Roman" w:hAnsi="Arial" w:cs="Arial"/>
          <w:bCs/>
          <w:i/>
          <w:color w:val="666666"/>
          <w:sz w:val="24"/>
          <w:szCs w:val="24"/>
          <w:bdr w:val="none" w:sz="0" w:space="0" w:color="auto" w:frame="1"/>
          <w:lang w:val="it-IT" w:eastAsia="en-GB"/>
        </w:rPr>
        <w:t xml:space="preserve">8 marzo 2017 </w:t>
      </w:r>
    </w:p>
    <w:p w14:paraId="0D7CCB77" w14:textId="77777777" w:rsidR="002A2E5E" w:rsidRDefault="002A2E5E" w:rsidP="002A2E5E">
      <w:pPr>
        <w:spacing w:after="0" w:line="276" w:lineRule="auto"/>
        <w:textAlignment w:val="baseline"/>
        <w:rPr>
          <w:rFonts w:ascii="Arial" w:eastAsia="Times New Roman" w:hAnsi="Arial" w:cs="Arial"/>
          <w:b/>
          <w:bCs/>
          <w:color w:val="666666"/>
          <w:sz w:val="24"/>
          <w:szCs w:val="24"/>
          <w:bdr w:val="none" w:sz="0" w:space="0" w:color="auto" w:frame="1"/>
          <w:lang w:val="it-IT" w:eastAsia="en-GB"/>
        </w:rPr>
      </w:pPr>
    </w:p>
    <w:p w14:paraId="0796592B" w14:textId="77777777" w:rsidR="00A93B89" w:rsidRPr="00B14A84" w:rsidRDefault="00A93B89" w:rsidP="002A2E5E">
      <w:pPr>
        <w:spacing w:after="0" w:line="276" w:lineRule="auto"/>
        <w:textAlignment w:val="baseline"/>
        <w:rPr>
          <w:rFonts w:ascii="Arial" w:eastAsia="Times New Roman" w:hAnsi="Arial" w:cs="Arial"/>
          <w:color w:val="666666"/>
          <w:sz w:val="24"/>
          <w:szCs w:val="24"/>
          <w:lang w:val="it-IT" w:eastAsia="en-GB"/>
        </w:rPr>
      </w:pPr>
      <w:r w:rsidRPr="00B14A84">
        <w:rPr>
          <w:rFonts w:ascii="Arial" w:eastAsia="Times New Roman" w:hAnsi="Arial" w:cs="Arial"/>
          <w:b/>
          <w:bCs/>
          <w:color w:val="666666"/>
          <w:sz w:val="24"/>
          <w:szCs w:val="24"/>
          <w:bdr w:val="none" w:sz="0" w:space="0" w:color="auto" w:frame="1"/>
          <w:lang w:val="it-IT" w:eastAsia="en-GB"/>
        </w:rPr>
        <w:t>Le donne italiane lavorano di più, sono pagate meno e il peso degli impegni familiari è soprattutto sulle loro spalle</w:t>
      </w:r>
      <w:r w:rsidRPr="00B14A84">
        <w:rPr>
          <w:rFonts w:ascii="Arial" w:eastAsia="Times New Roman" w:hAnsi="Arial" w:cs="Arial"/>
          <w:color w:val="666666"/>
          <w:sz w:val="24"/>
          <w:szCs w:val="24"/>
          <w:lang w:val="it-IT" w:eastAsia="en-GB"/>
        </w:rPr>
        <w:t>. Anche quest'anno i dati sulle differenze di genere mostrano un quadro sempre più desolante sulla condizione lavorativa femminile italiana confermando come </w:t>
      </w:r>
      <w:r w:rsidRPr="00B14A84">
        <w:rPr>
          <w:rFonts w:ascii="Arial" w:eastAsia="Times New Roman" w:hAnsi="Arial" w:cs="Arial"/>
          <w:b/>
          <w:bCs/>
          <w:color w:val="666666"/>
          <w:sz w:val="24"/>
          <w:szCs w:val="24"/>
          <w:bdr w:val="none" w:sz="0" w:space="0" w:color="auto" w:frame="1"/>
          <w:lang w:val="it-IT" w:eastAsia="en-GB"/>
        </w:rPr>
        <w:t>il nostro Paese resti fanalino di coda in Europa </w:t>
      </w:r>
      <w:r w:rsidRPr="00B14A84">
        <w:rPr>
          <w:rFonts w:ascii="Arial" w:eastAsia="Times New Roman" w:hAnsi="Arial" w:cs="Arial"/>
          <w:color w:val="666666"/>
          <w:sz w:val="24"/>
          <w:szCs w:val="24"/>
          <w:lang w:val="it-IT" w:eastAsia="en-GB"/>
        </w:rPr>
        <w:t xml:space="preserve">sulla parità tra maschi e femmine. Il </w:t>
      </w:r>
      <w:proofErr w:type="spellStart"/>
      <w:r w:rsidRPr="00B14A84">
        <w:rPr>
          <w:rFonts w:ascii="Arial" w:eastAsia="Times New Roman" w:hAnsi="Arial" w:cs="Arial"/>
          <w:color w:val="666666"/>
          <w:sz w:val="24"/>
          <w:szCs w:val="24"/>
          <w:lang w:val="it-IT" w:eastAsia="en-GB"/>
        </w:rPr>
        <w:t>Censis</w:t>
      </w:r>
      <w:proofErr w:type="spellEnd"/>
      <w:r w:rsidRPr="00B14A84">
        <w:rPr>
          <w:rFonts w:ascii="Arial" w:eastAsia="Times New Roman" w:hAnsi="Arial" w:cs="Arial"/>
          <w:color w:val="666666"/>
          <w:sz w:val="24"/>
          <w:szCs w:val="24"/>
          <w:lang w:val="it-IT" w:eastAsia="en-GB"/>
        </w:rPr>
        <w:t>, nel suo ultimo rapporto in occasione dell'</w:t>
      </w:r>
      <w:r w:rsidRPr="00B14A84">
        <w:rPr>
          <w:rFonts w:ascii="Arial" w:eastAsia="Times New Roman" w:hAnsi="Arial" w:cs="Arial"/>
          <w:b/>
          <w:bCs/>
          <w:color w:val="666666"/>
          <w:sz w:val="24"/>
          <w:szCs w:val="24"/>
          <w:bdr w:val="none" w:sz="0" w:space="0" w:color="auto" w:frame="1"/>
          <w:lang w:val="it-IT" w:eastAsia="en-GB"/>
        </w:rPr>
        <w:t>8 marzo</w:t>
      </w:r>
      <w:r w:rsidRPr="00B14A84">
        <w:rPr>
          <w:rFonts w:ascii="Arial" w:eastAsia="Times New Roman" w:hAnsi="Arial" w:cs="Arial"/>
          <w:color w:val="666666"/>
          <w:sz w:val="24"/>
          <w:szCs w:val="24"/>
          <w:lang w:val="it-IT" w:eastAsia="en-GB"/>
        </w:rPr>
        <w:t>, delinea l'immagine di donna 'acrobata tra lavoro e famiglia', mentre una ricerca del Monitor Allianz Global Assistance rivela come le ragazze italiane under 30 siano sfiduciate e ritengano come l'Italia non sia il posto giusto per crescere professionalmente.</w:t>
      </w:r>
    </w:p>
    <w:p w14:paraId="2DE77E4B" w14:textId="77777777" w:rsidR="00A93B89" w:rsidRPr="00B14A84" w:rsidRDefault="002A2E5E" w:rsidP="002A2E5E">
      <w:pPr>
        <w:spacing w:line="276" w:lineRule="auto"/>
        <w:textAlignment w:val="baseline"/>
        <w:rPr>
          <w:rFonts w:ascii="Arial" w:eastAsia="Times New Roman" w:hAnsi="Arial" w:cs="Arial"/>
          <w:color w:val="AAAAAA"/>
          <w:sz w:val="24"/>
          <w:szCs w:val="24"/>
          <w:lang w:eastAsia="en-GB"/>
        </w:rPr>
      </w:pPr>
      <w:r>
        <w:rPr>
          <w:rFonts w:ascii="Arial" w:eastAsia="Times New Roman" w:hAnsi="Arial" w:cs="Arial"/>
          <w:color w:val="AAAAAA"/>
          <w:sz w:val="24"/>
          <w:szCs w:val="24"/>
          <w:lang w:eastAsia="en-GB"/>
        </w:rPr>
        <w:t xml:space="preserve"> </w:t>
      </w:r>
    </w:p>
    <w:p w14:paraId="24E4DB83" w14:textId="77777777" w:rsidR="00A93B89" w:rsidRPr="00B14A84" w:rsidRDefault="00A93B89" w:rsidP="002A2E5E">
      <w:pPr>
        <w:spacing w:after="300" w:line="276" w:lineRule="auto"/>
        <w:textAlignment w:val="baseline"/>
        <w:rPr>
          <w:rFonts w:ascii="Arial" w:eastAsia="Times New Roman" w:hAnsi="Arial" w:cs="Arial"/>
          <w:color w:val="666666"/>
          <w:sz w:val="24"/>
          <w:szCs w:val="24"/>
          <w:lang w:val="it-IT" w:eastAsia="en-GB"/>
        </w:rPr>
      </w:pPr>
      <w:r w:rsidRPr="00B14A84">
        <w:rPr>
          <w:rFonts w:ascii="Arial" w:eastAsia="Times New Roman" w:hAnsi="Arial" w:cs="Arial"/>
          <w:color w:val="666666"/>
          <w:sz w:val="24"/>
          <w:szCs w:val="24"/>
          <w:lang w:val="it-IT" w:eastAsia="en-GB"/>
        </w:rPr>
        <w:t>Non è solo la mancanza di occupazione a penalizzarle. Le donne continuano ad avere impieghi scarsamente qualificati, sono costrette ad accettare il part time (+91,6% dal 2008), guadagnano meno dei colleghi maschi (-19,6% in media, -38,7% le manager) e alle attività familiari dedicano il triplo del tempo degli uomini. E soprattutto, l'84% delle donne, tra i 25 e i 34 anni, ritiene che l'Italia sia un Paese dove la meritocrazia venga applicata poco o nulla, in ambito si</w:t>
      </w:r>
      <w:r w:rsidR="002A2E5E">
        <w:rPr>
          <w:rFonts w:ascii="Arial" w:eastAsia="Times New Roman" w:hAnsi="Arial" w:cs="Arial"/>
          <w:color w:val="666666"/>
          <w:sz w:val="24"/>
          <w:szCs w:val="24"/>
          <w:lang w:val="it-IT" w:eastAsia="en-GB"/>
        </w:rPr>
        <w:t xml:space="preserve">a accademico sia professionale. </w:t>
      </w:r>
      <w:r w:rsidRPr="00B14A84">
        <w:rPr>
          <w:rFonts w:ascii="Arial" w:eastAsia="Times New Roman" w:hAnsi="Arial" w:cs="Arial"/>
          <w:color w:val="666666"/>
          <w:sz w:val="24"/>
          <w:szCs w:val="24"/>
          <w:lang w:val="it-IT" w:eastAsia="en-GB"/>
        </w:rPr>
        <w:t xml:space="preserve">Nel dettaglio, la ricerca di Allianz, condotta in collaborazione con il Forum della Meritocrazia e l'istituto di ricerca </w:t>
      </w:r>
      <w:proofErr w:type="spellStart"/>
      <w:r w:rsidRPr="00B14A84">
        <w:rPr>
          <w:rFonts w:ascii="Arial" w:eastAsia="Times New Roman" w:hAnsi="Arial" w:cs="Arial"/>
          <w:color w:val="666666"/>
          <w:sz w:val="24"/>
          <w:szCs w:val="24"/>
          <w:lang w:val="it-IT" w:eastAsia="en-GB"/>
        </w:rPr>
        <w:t>Nextplora</w:t>
      </w:r>
      <w:proofErr w:type="spellEnd"/>
      <w:r w:rsidRPr="00B14A84">
        <w:rPr>
          <w:rFonts w:ascii="Arial" w:eastAsia="Times New Roman" w:hAnsi="Arial" w:cs="Arial"/>
          <w:color w:val="666666"/>
          <w:sz w:val="24"/>
          <w:szCs w:val="24"/>
          <w:lang w:val="it-IT" w:eastAsia="en-GB"/>
        </w:rPr>
        <w:t>, mostra come il 78% degli intervistati, uomini e donne (25-64 anni), pensa che le istituzioni e la società civile italiane non valorizzino adeguatamente il talento femminile. I migliori Paesi in cui una giovane donna dovrebbe compiere o completare gli studi risultano essere gli Stati Uniti, la Gran Bretagna e la Germania.</w:t>
      </w:r>
    </w:p>
    <w:p w14:paraId="7AC60960" w14:textId="77777777" w:rsidR="00A93B89" w:rsidRPr="00B14A84" w:rsidRDefault="00A93B89" w:rsidP="002A2E5E">
      <w:pPr>
        <w:spacing w:after="0" w:line="276" w:lineRule="auto"/>
        <w:textAlignment w:val="baseline"/>
        <w:rPr>
          <w:rFonts w:ascii="Arial" w:eastAsia="Times New Roman" w:hAnsi="Arial" w:cs="Arial"/>
          <w:color w:val="666666"/>
          <w:sz w:val="24"/>
          <w:szCs w:val="24"/>
          <w:lang w:val="it-IT" w:eastAsia="en-GB"/>
        </w:rPr>
      </w:pPr>
      <w:r w:rsidRPr="00B14A84">
        <w:rPr>
          <w:rFonts w:ascii="Arial" w:eastAsia="Times New Roman" w:hAnsi="Arial" w:cs="Arial"/>
          <w:b/>
          <w:bCs/>
          <w:color w:val="666666"/>
          <w:sz w:val="24"/>
          <w:szCs w:val="24"/>
          <w:bdr w:val="none" w:sz="0" w:space="0" w:color="auto" w:frame="1"/>
          <w:lang w:val="it-IT" w:eastAsia="en-GB"/>
        </w:rPr>
        <w:t>BOOM DEL PART TIME INVOLONTARIO </w:t>
      </w:r>
      <w:r w:rsidRPr="00B14A84">
        <w:rPr>
          <w:rFonts w:ascii="Arial" w:eastAsia="Times New Roman" w:hAnsi="Arial" w:cs="Arial"/>
          <w:color w:val="666666"/>
          <w:sz w:val="24"/>
          <w:szCs w:val="24"/>
          <w:lang w:val="it-IT" w:eastAsia="en-GB"/>
        </w:rPr>
        <w:t xml:space="preserve">- Sfatato il mito del part time come libera scelta delle donne che vogliono dedicare più tempo alla famiglia. In Italia sono 3.105.000 le donne che hanno un lavoro a tempo parziale, il 32,6% delle occupate. Ma per 1.817.000 di loro (più della metà: il 58,5%) si tratta di un part time involontario, che hanno dovuto accettare per la mancanza di offerte di lavoro a tempo pieno. Dal 2008 a oggi le donne che hanno scelto liberamente il part time sono diminuite del 20,9%, mentre il part time involontario ha registrato un incremento del 91,6%. È una situazione che differenzia l'Italia dagli altri grandi Paesi europei ponendola al terz'ultimo posto in </w:t>
      </w:r>
      <w:r w:rsidRPr="00B14A84">
        <w:rPr>
          <w:rFonts w:ascii="Arial" w:eastAsia="Times New Roman" w:hAnsi="Arial" w:cs="Arial"/>
          <w:color w:val="666666"/>
          <w:sz w:val="24"/>
          <w:szCs w:val="24"/>
          <w:lang w:val="it-IT" w:eastAsia="en-GB"/>
        </w:rPr>
        <w:lastRenderedPageBreak/>
        <w:t>Europa, seguiti solo da Cipro e Grecia. In Germania le donne costrette al part time per mancanza di alternative full time sono solo il 12,1% e nel Regno Unito il 13,3%. È anche per questo motivo che il 23% delle donne occupate italiane ha come priorità quella di cambiare lavoro e il 27,6% dichiara di avere bisogno di integrare il proprio reddito con un secondo lavoro o con qualche lavoretto.</w:t>
      </w:r>
    </w:p>
    <w:p w14:paraId="1A62B172" w14:textId="77777777" w:rsidR="002A2E5E" w:rsidRDefault="002A2E5E" w:rsidP="002A2E5E">
      <w:pPr>
        <w:spacing w:after="0" w:line="276" w:lineRule="auto"/>
        <w:textAlignment w:val="baseline"/>
        <w:rPr>
          <w:rFonts w:ascii="Arial" w:eastAsia="Times New Roman" w:hAnsi="Arial" w:cs="Arial"/>
          <w:b/>
          <w:bCs/>
          <w:color w:val="666666"/>
          <w:sz w:val="24"/>
          <w:szCs w:val="24"/>
          <w:bdr w:val="none" w:sz="0" w:space="0" w:color="auto" w:frame="1"/>
          <w:lang w:val="it-IT" w:eastAsia="en-GB"/>
        </w:rPr>
      </w:pPr>
    </w:p>
    <w:p w14:paraId="573E28C5" w14:textId="77777777" w:rsidR="00A93B89" w:rsidRPr="00B14A84" w:rsidRDefault="00A93B89" w:rsidP="002A2E5E">
      <w:pPr>
        <w:spacing w:after="0" w:line="276" w:lineRule="auto"/>
        <w:textAlignment w:val="baseline"/>
        <w:rPr>
          <w:rFonts w:ascii="Arial" w:eastAsia="Times New Roman" w:hAnsi="Arial" w:cs="Arial"/>
          <w:color w:val="666666"/>
          <w:sz w:val="24"/>
          <w:szCs w:val="24"/>
          <w:lang w:val="it-IT" w:eastAsia="en-GB"/>
        </w:rPr>
      </w:pPr>
      <w:r w:rsidRPr="00B14A84">
        <w:rPr>
          <w:rFonts w:ascii="Arial" w:eastAsia="Times New Roman" w:hAnsi="Arial" w:cs="Arial"/>
          <w:b/>
          <w:bCs/>
          <w:color w:val="666666"/>
          <w:sz w:val="24"/>
          <w:szCs w:val="24"/>
          <w:bdr w:val="none" w:sz="0" w:space="0" w:color="auto" w:frame="1"/>
          <w:lang w:val="it-IT" w:eastAsia="en-GB"/>
        </w:rPr>
        <w:t>L'ACCESSO AL MERCATO DEL LAVORO</w:t>
      </w:r>
      <w:r w:rsidRPr="00B14A84">
        <w:rPr>
          <w:rFonts w:ascii="Arial" w:eastAsia="Times New Roman" w:hAnsi="Arial" w:cs="Arial"/>
          <w:color w:val="666666"/>
          <w:sz w:val="24"/>
          <w:szCs w:val="24"/>
          <w:lang w:val="it-IT" w:eastAsia="en-GB"/>
        </w:rPr>
        <w:t> - Con un tasso di attività femminile fermo al 55% l'Italia si colloca all'ultimo posto nella graduatoria dei Paesi europei. Al primo posto c'è la Svezia, con l'80,5%. In Germania il tasso di attività femminile (la somma delle donne occupate e di quelle che cercano lavoro) arriva al 73,5%, nel Regno Unito al 72,2%, in Spagna al 69,2%, in Francia al 67,6% e la media europea si attesta al 67,3%. Siamo penultimi in Europa per il tasso di occupazione femminile, che in Italia è pari al 48%, migliore solo di quello della Grecia (43,4%) e lontanissimo dal primo Paese, la Svezia (74,9%). In Germania il tasso di occupazione femminile è al 70,6%, nel Regno Unito al 68,6%, in Francia al 61%, in Spagna al 54,1% e la media europea è del 61,2%. Nel nostro Paese si registra quindi un forte 'gender gap' nell'accesso al mercato del lavoro: la differenza tra il tasso di occupazione maschile e quello femminile è di 18,4 punti percentuali. Peggio di noi solo Malta, con 25,6 punti, e siamo ancora lontanissimi da Paesi come la Finlandia, dove la differenza è di appena 2,8 punti, e la Svezia, con 2,7 punti. In Francia la differenza di genere tra i tassi di occupazione è solo del 6,6%, in Germania del 7,7%, nel Regno Unito del 9,6%, in Spagna del 10,5%, con una media europea del 10,5%. Il tasso di disoccupazione femminile in Italia è del 12,6%, ancora lontano dalla media europea (8,8%) e soprattutto dal 3,9% della Germania e dal 4,8% del Regno Unito. Colpisce ancora di più la percezione che le donne italiane hanno della loro condizione lavorativa: sono quelle che in Europa avvertono le minori possibilità di ascesa professionale. Solo il 23% pensa che il proprio lavoro offra concrete opportunità di fare carriera, collocandosi anche su questo punto all'ultimo posto in Europa.</w:t>
      </w:r>
    </w:p>
    <w:p w14:paraId="06AEFCEA" w14:textId="77777777" w:rsidR="002A2E5E" w:rsidRDefault="002A2E5E" w:rsidP="002A2E5E">
      <w:pPr>
        <w:spacing w:after="0" w:line="276" w:lineRule="auto"/>
        <w:textAlignment w:val="baseline"/>
        <w:rPr>
          <w:rFonts w:ascii="Arial" w:eastAsia="Times New Roman" w:hAnsi="Arial" w:cs="Arial"/>
          <w:b/>
          <w:bCs/>
          <w:color w:val="666666"/>
          <w:sz w:val="24"/>
          <w:szCs w:val="24"/>
          <w:bdr w:val="none" w:sz="0" w:space="0" w:color="auto" w:frame="1"/>
          <w:lang w:val="it-IT" w:eastAsia="en-GB"/>
        </w:rPr>
      </w:pPr>
    </w:p>
    <w:p w14:paraId="02294D57" w14:textId="77777777" w:rsidR="00A93B89" w:rsidRPr="00B14A84" w:rsidRDefault="00A93B89" w:rsidP="002A2E5E">
      <w:pPr>
        <w:spacing w:after="0" w:line="276" w:lineRule="auto"/>
        <w:textAlignment w:val="baseline"/>
        <w:rPr>
          <w:rFonts w:ascii="Arial" w:eastAsia="Times New Roman" w:hAnsi="Arial" w:cs="Arial"/>
          <w:color w:val="666666"/>
          <w:sz w:val="24"/>
          <w:szCs w:val="24"/>
          <w:lang w:val="it-IT" w:eastAsia="en-GB"/>
        </w:rPr>
      </w:pPr>
      <w:r w:rsidRPr="00B14A84">
        <w:rPr>
          <w:rFonts w:ascii="Arial" w:eastAsia="Times New Roman" w:hAnsi="Arial" w:cs="Arial"/>
          <w:b/>
          <w:bCs/>
          <w:color w:val="666666"/>
          <w:sz w:val="24"/>
          <w:szCs w:val="24"/>
          <w:bdr w:val="none" w:sz="0" w:space="0" w:color="auto" w:frame="1"/>
          <w:lang w:val="it-IT" w:eastAsia="en-GB"/>
        </w:rPr>
        <w:t>IL SUD-ITALIA</w:t>
      </w:r>
      <w:r w:rsidRPr="00B14A84">
        <w:rPr>
          <w:rFonts w:ascii="Arial" w:eastAsia="Times New Roman" w:hAnsi="Arial" w:cs="Arial"/>
          <w:color w:val="666666"/>
          <w:sz w:val="24"/>
          <w:szCs w:val="24"/>
          <w:lang w:val="it-IT" w:eastAsia="en-GB"/>
        </w:rPr>
        <w:t> - Nelle regioni del Centro-Nord tutti i dati riferiti al mercato del lavoro non sono distanti da quelli dei Paesi europei più avanzati. Nel Mezzogiorno invece la disoccupazione femminile è al 21,7%, le donne attive arrivano appena al 40,6% e il tasso di occupazione è solo del 31,7%. Le 10 province italiane più virtuose, che offrono maggiori opportunità lavorative alle donne, sono tutte nel Centro-Nord. Al primo posto si trova Bolzano, con un tasso di occupazione al 64,3%, poi Bologna (63,5%), Firenze (62,5%), Belluno (62,0%) e Pisa (61,7%). Chiudono la graduatoria le province di Caltanissetta, dove il tasso di occupazione femminile precipita al 22,5%, Caserta (24,1%), Barletta-Andria-Trani (24,3%), Agrigento (24,4%) e Napoli (24,9%).</w:t>
      </w:r>
    </w:p>
    <w:p w14:paraId="0588BC27" w14:textId="77777777" w:rsidR="002A2E5E" w:rsidRDefault="002A2E5E" w:rsidP="002A2E5E">
      <w:pPr>
        <w:spacing w:after="0" w:line="276" w:lineRule="auto"/>
        <w:textAlignment w:val="baseline"/>
        <w:rPr>
          <w:rFonts w:ascii="Arial" w:eastAsia="Times New Roman" w:hAnsi="Arial" w:cs="Arial"/>
          <w:b/>
          <w:bCs/>
          <w:color w:val="666666"/>
          <w:sz w:val="24"/>
          <w:szCs w:val="24"/>
          <w:bdr w:val="none" w:sz="0" w:space="0" w:color="auto" w:frame="1"/>
          <w:lang w:val="it-IT" w:eastAsia="en-GB"/>
        </w:rPr>
      </w:pPr>
    </w:p>
    <w:p w14:paraId="69A6EAD3" w14:textId="77777777" w:rsidR="00A93B89" w:rsidRPr="00B14A84" w:rsidRDefault="00A93B89" w:rsidP="002A2E5E">
      <w:pPr>
        <w:spacing w:after="0" w:line="276" w:lineRule="auto"/>
        <w:textAlignment w:val="baseline"/>
        <w:rPr>
          <w:rFonts w:ascii="Arial" w:eastAsia="Times New Roman" w:hAnsi="Arial" w:cs="Arial"/>
          <w:color w:val="666666"/>
          <w:sz w:val="24"/>
          <w:szCs w:val="24"/>
          <w:lang w:val="it-IT" w:eastAsia="en-GB"/>
        </w:rPr>
      </w:pPr>
      <w:r w:rsidRPr="00B14A84">
        <w:rPr>
          <w:rFonts w:ascii="Arial" w:eastAsia="Times New Roman" w:hAnsi="Arial" w:cs="Arial"/>
          <w:b/>
          <w:bCs/>
          <w:color w:val="666666"/>
          <w:sz w:val="24"/>
          <w:szCs w:val="24"/>
          <w:bdr w:val="none" w:sz="0" w:space="0" w:color="auto" w:frame="1"/>
          <w:lang w:val="it-IT" w:eastAsia="en-GB"/>
        </w:rPr>
        <w:t>DONNE ACROBATE TRA LAVORO E FAMIGLIA</w:t>
      </w:r>
      <w:r w:rsidRPr="00B14A84">
        <w:rPr>
          <w:rFonts w:ascii="Arial" w:eastAsia="Times New Roman" w:hAnsi="Arial" w:cs="Arial"/>
          <w:color w:val="666666"/>
          <w:sz w:val="24"/>
          <w:szCs w:val="24"/>
          <w:lang w:val="it-IT" w:eastAsia="en-GB"/>
        </w:rPr>
        <w:t> - In una giornata media, la durata del lavoro retribuito nel caso degli uomini è di 4 ore e 39 minuti, corrispondenti al 19,4% del tempo totale disponibile, mentre per le donne è di 2 ore e 23 minuti, pari al 9,9%. La cura personale è la stessa (il 46,4% del tempo per le femmine, il 46,2% per i maschi). Gli uomini hanno più tempo libero: il 19,9% della giornata, il 16,1% per le donne. Mentre al lavoro familiare ogni donna dedica una media di 5 ore e 13 minuti al giorno (il 21,7% del totale), cioè il triplo degli uomini (solo 1 ora e 50 minuti, cioè il 7,6% del totale). In altre parole, se si somma il tempo dedicato al lavoro a quello preso dalle attività familiari, le donne sono impegnate per una media di 7 ore e 36 minuti al giorno: ben più delle 6 ore e 29 minuti degli uomini. Le più impegnate? Le donne con più di 50 anni, quelle che alla cura dei figli ancora piccoli aggiungono la necessità di accudire genitori anziani sempre meno autosufficienti.</w:t>
      </w:r>
    </w:p>
    <w:p w14:paraId="438B9C80" w14:textId="77777777" w:rsidR="00A93B89" w:rsidRPr="00B14A84" w:rsidRDefault="00A93B89" w:rsidP="002A2E5E">
      <w:pPr>
        <w:spacing w:after="0" w:line="276" w:lineRule="auto"/>
        <w:textAlignment w:val="baseline"/>
        <w:rPr>
          <w:rFonts w:ascii="Arial" w:eastAsia="Times New Roman" w:hAnsi="Arial" w:cs="Arial"/>
          <w:color w:val="666666"/>
          <w:sz w:val="24"/>
          <w:szCs w:val="24"/>
          <w:lang w:val="it-IT" w:eastAsia="en-GB"/>
        </w:rPr>
      </w:pPr>
      <w:r w:rsidRPr="00B14A84">
        <w:rPr>
          <w:rFonts w:ascii="Arial" w:eastAsia="Times New Roman" w:hAnsi="Arial" w:cs="Arial"/>
          <w:b/>
          <w:bCs/>
          <w:color w:val="666666"/>
          <w:sz w:val="24"/>
          <w:szCs w:val="24"/>
          <w:bdr w:val="none" w:sz="0" w:space="0" w:color="auto" w:frame="1"/>
          <w:lang w:val="it-IT" w:eastAsia="en-GB"/>
        </w:rPr>
        <w:lastRenderedPageBreak/>
        <w:t>UN LUNGO PERCORSO DI EMANCIPAZIONE</w:t>
      </w:r>
      <w:r w:rsidRPr="00B14A84">
        <w:rPr>
          <w:rFonts w:ascii="Arial" w:eastAsia="Times New Roman" w:hAnsi="Arial" w:cs="Arial"/>
          <w:color w:val="666666"/>
          <w:sz w:val="24"/>
          <w:szCs w:val="24"/>
          <w:lang w:val="it-IT" w:eastAsia="en-GB"/>
        </w:rPr>
        <w:t> - Molto è stato fatto nel nostro Paese per promuovere le pari opportunità. Nel 1951, all'indomani dell'approvazione della Costituzione, che all'articolo 3 sancisce il principio della parità di genere, le donne rappresentavano solo il 31,5% dei laureati nell'anno. Dieci anni dopo, nel 1961, non si registrava nessun progresso (31,6%). Ma poi è iniziato il lungo percorso di emancipazione femminile, che ha portato il numero delle laureate a superare abbondantemente quello dei laureati: nel 2016 le donne rappresentano il 55,6% del totale. E i progressi ci sono stati anche sul fronte del lavoro. Nel 1977, l'anno dell'approvazione della normativa sulla parità di trattamento tra uomini e donne in materia di lavoro, il tasso di occupazione femminile era del 33,5% e quello maschile del 74,6%.</w:t>
      </w:r>
    </w:p>
    <w:p w14:paraId="5DFFAEB8" w14:textId="77777777" w:rsidR="002A2E5E" w:rsidRDefault="002A2E5E" w:rsidP="002A2E5E">
      <w:pPr>
        <w:spacing w:after="0" w:line="276" w:lineRule="auto"/>
        <w:textAlignment w:val="baseline"/>
        <w:rPr>
          <w:rFonts w:ascii="Arial" w:eastAsia="Times New Roman" w:hAnsi="Arial" w:cs="Arial"/>
          <w:b/>
          <w:bCs/>
          <w:color w:val="666666"/>
          <w:sz w:val="24"/>
          <w:szCs w:val="24"/>
          <w:bdr w:val="none" w:sz="0" w:space="0" w:color="auto" w:frame="1"/>
          <w:lang w:val="it-IT" w:eastAsia="en-GB"/>
        </w:rPr>
      </w:pPr>
    </w:p>
    <w:p w14:paraId="34DEA8FA" w14:textId="77777777" w:rsidR="00A93B89" w:rsidRPr="00B14A84" w:rsidRDefault="00A93B89" w:rsidP="002A2E5E">
      <w:pPr>
        <w:spacing w:after="0" w:line="276" w:lineRule="auto"/>
        <w:textAlignment w:val="baseline"/>
        <w:rPr>
          <w:rFonts w:ascii="Arial" w:eastAsia="Times New Roman" w:hAnsi="Arial" w:cs="Arial"/>
          <w:color w:val="666666"/>
          <w:sz w:val="24"/>
          <w:szCs w:val="24"/>
          <w:lang w:val="it-IT" w:eastAsia="en-GB"/>
        </w:rPr>
      </w:pPr>
      <w:r w:rsidRPr="00B14A84">
        <w:rPr>
          <w:rFonts w:ascii="Arial" w:eastAsia="Times New Roman" w:hAnsi="Arial" w:cs="Arial"/>
          <w:b/>
          <w:bCs/>
          <w:color w:val="666666"/>
          <w:sz w:val="24"/>
          <w:szCs w:val="24"/>
          <w:bdr w:val="none" w:sz="0" w:space="0" w:color="auto" w:frame="1"/>
          <w:lang w:val="it-IT" w:eastAsia="en-GB"/>
        </w:rPr>
        <w:t>LAVORI MENO QUALIFICATI E STIPENDI PIÙ BASSI</w:t>
      </w:r>
      <w:r w:rsidRPr="00B14A84">
        <w:rPr>
          <w:rFonts w:ascii="Arial" w:eastAsia="Times New Roman" w:hAnsi="Arial" w:cs="Arial"/>
          <w:color w:val="666666"/>
          <w:sz w:val="24"/>
          <w:szCs w:val="24"/>
          <w:lang w:val="it-IT" w:eastAsia="en-GB"/>
        </w:rPr>
        <w:t xml:space="preserve"> - Ancora oggi però le donne continuano ad avere difficoltà a conquistare le posizioni professionali più qualificate e remunerative. Soprattutto nel settore privato il 'gender </w:t>
      </w:r>
      <w:proofErr w:type="spellStart"/>
      <w:r w:rsidRPr="00B14A84">
        <w:rPr>
          <w:rFonts w:ascii="Arial" w:eastAsia="Times New Roman" w:hAnsi="Arial" w:cs="Arial"/>
          <w:color w:val="666666"/>
          <w:sz w:val="24"/>
          <w:szCs w:val="24"/>
          <w:lang w:val="it-IT" w:eastAsia="en-GB"/>
        </w:rPr>
        <w:t>pay</w:t>
      </w:r>
      <w:proofErr w:type="spellEnd"/>
      <w:r w:rsidRPr="00B14A84">
        <w:rPr>
          <w:rFonts w:ascii="Arial" w:eastAsia="Times New Roman" w:hAnsi="Arial" w:cs="Arial"/>
          <w:color w:val="666666"/>
          <w:sz w:val="24"/>
          <w:szCs w:val="24"/>
          <w:lang w:val="it-IT" w:eastAsia="en-GB"/>
        </w:rPr>
        <w:t xml:space="preserve"> gap' è elevato: a parità di ruolo percepiscono stipendi inferiori a quelli degli uomini. Nelle strutture pubbliche, dove lo stipendio orario lordo di una donna è di 19,8 euro e quello di un uomo di 20,6 euro, il divario è solo del 3,7%. Nel privato invece lo stipendio delle donne è mediamente di 11,8 euro lordi l'ora contro i 14,7 euro degli uomini, con un gap salariale pari al 19,6%. Al crescere della qualifica professionale aumenta la retribuzione, ma aumenta anche il gap retributivo: tra i dirigenti il differenziale tra uomini e donne arriva al 38,7%.</w:t>
      </w:r>
    </w:p>
    <w:p w14:paraId="5D055A62" w14:textId="77777777" w:rsidR="00ED0A01" w:rsidRPr="00B14A84" w:rsidRDefault="00ED0A01" w:rsidP="002A2E5E">
      <w:pPr>
        <w:spacing w:line="276" w:lineRule="auto"/>
        <w:rPr>
          <w:sz w:val="24"/>
          <w:szCs w:val="24"/>
          <w:lang w:val="it-IT"/>
        </w:rPr>
      </w:pPr>
    </w:p>
    <w:p w14:paraId="31693A18" w14:textId="77777777" w:rsidR="002B6F21" w:rsidRPr="00B14A84" w:rsidRDefault="002B6F21" w:rsidP="002A2E5E">
      <w:pPr>
        <w:spacing w:line="276" w:lineRule="auto"/>
        <w:rPr>
          <w:lang w:val="it-IT"/>
        </w:rPr>
      </w:pPr>
    </w:p>
    <w:p w14:paraId="2CE6720D" w14:textId="77777777" w:rsidR="002B6F21" w:rsidRPr="00B14A84" w:rsidRDefault="002B6F21" w:rsidP="002A2E5E">
      <w:pPr>
        <w:spacing w:line="276" w:lineRule="auto"/>
        <w:rPr>
          <w:lang w:val="it-IT"/>
        </w:rPr>
      </w:pPr>
    </w:p>
    <w:p w14:paraId="1FB23391" w14:textId="77777777" w:rsidR="002B6F21" w:rsidRPr="00B14A84" w:rsidRDefault="002B6F21" w:rsidP="002A2E5E">
      <w:pPr>
        <w:spacing w:line="276" w:lineRule="auto"/>
        <w:rPr>
          <w:lang w:val="it-IT"/>
        </w:rPr>
      </w:pPr>
    </w:p>
    <w:p w14:paraId="12710929" w14:textId="77777777" w:rsidR="002B6F21" w:rsidRPr="00B14A84" w:rsidRDefault="002B6F21" w:rsidP="002A2E5E">
      <w:pPr>
        <w:spacing w:line="276" w:lineRule="auto"/>
        <w:rPr>
          <w:lang w:val="it-IT"/>
        </w:rPr>
      </w:pPr>
    </w:p>
    <w:p w14:paraId="15792850" w14:textId="77777777" w:rsidR="002B6F21" w:rsidRPr="00B14A84" w:rsidRDefault="002B6F21" w:rsidP="002A2E5E">
      <w:pPr>
        <w:spacing w:line="276" w:lineRule="auto"/>
        <w:rPr>
          <w:lang w:val="it-IT"/>
        </w:rPr>
      </w:pPr>
    </w:p>
    <w:p w14:paraId="640C444D" w14:textId="77777777" w:rsidR="002B6F21" w:rsidRPr="00B14A84" w:rsidRDefault="002B6F21" w:rsidP="002A2E5E">
      <w:pPr>
        <w:spacing w:line="276" w:lineRule="auto"/>
        <w:rPr>
          <w:lang w:val="it-IT"/>
        </w:rPr>
      </w:pPr>
    </w:p>
    <w:p w14:paraId="45A52380" w14:textId="77777777" w:rsidR="002B6F21" w:rsidRPr="00B14A84" w:rsidRDefault="002B6F21" w:rsidP="002A2E5E">
      <w:pPr>
        <w:spacing w:line="276" w:lineRule="auto"/>
        <w:rPr>
          <w:lang w:val="it-IT"/>
        </w:rPr>
      </w:pPr>
    </w:p>
    <w:p w14:paraId="6B4FC40F" w14:textId="77777777" w:rsidR="002B6F21" w:rsidRPr="00B14A84" w:rsidRDefault="002B6F21" w:rsidP="002A2E5E">
      <w:pPr>
        <w:spacing w:line="276" w:lineRule="auto"/>
        <w:rPr>
          <w:lang w:val="it-IT"/>
        </w:rPr>
      </w:pPr>
    </w:p>
    <w:p w14:paraId="6E215621" w14:textId="77777777" w:rsidR="002B6F21" w:rsidRPr="00B14A84" w:rsidRDefault="002B6F21" w:rsidP="002A2E5E">
      <w:pPr>
        <w:spacing w:line="276" w:lineRule="auto"/>
        <w:rPr>
          <w:lang w:val="it-IT"/>
        </w:rPr>
      </w:pPr>
    </w:p>
    <w:p w14:paraId="0FF2125F" w14:textId="77777777" w:rsidR="002B6F21" w:rsidRPr="00B14A84" w:rsidRDefault="002B6F21" w:rsidP="002A2E5E">
      <w:pPr>
        <w:spacing w:line="276" w:lineRule="auto"/>
        <w:rPr>
          <w:lang w:val="it-IT"/>
        </w:rPr>
      </w:pPr>
    </w:p>
    <w:p w14:paraId="54B78D05" w14:textId="77777777" w:rsidR="002B6F21" w:rsidRPr="00B14A84" w:rsidRDefault="002B6F21" w:rsidP="002A2E5E">
      <w:pPr>
        <w:spacing w:line="276" w:lineRule="auto"/>
        <w:rPr>
          <w:lang w:val="it-IT"/>
        </w:rPr>
      </w:pPr>
    </w:p>
    <w:p w14:paraId="20A9CFBC" w14:textId="77777777" w:rsidR="002B6F21" w:rsidRPr="00B14A84" w:rsidRDefault="002B6F21" w:rsidP="002A2E5E">
      <w:pPr>
        <w:spacing w:line="276" w:lineRule="auto"/>
        <w:rPr>
          <w:lang w:val="it-IT"/>
        </w:rPr>
      </w:pPr>
    </w:p>
    <w:p w14:paraId="2D932DC0" w14:textId="77777777" w:rsidR="002B6F21" w:rsidRPr="00B14A84" w:rsidRDefault="002B6F21" w:rsidP="002A2E5E">
      <w:pPr>
        <w:spacing w:line="276" w:lineRule="auto"/>
        <w:rPr>
          <w:lang w:val="it-IT"/>
        </w:rPr>
      </w:pPr>
    </w:p>
    <w:p w14:paraId="024ED90C" w14:textId="77777777" w:rsidR="002B6F21" w:rsidRPr="00B14A84" w:rsidRDefault="002B6F21">
      <w:pPr>
        <w:rPr>
          <w:lang w:val="it-IT"/>
        </w:rPr>
      </w:pPr>
    </w:p>
    <w:p w14:paraId="25E960FA" w14:textId="77777777" w:rsidR="002B6F21" w:rsidRPr="00B14A84" w:rsidRDefault="002B6F21">
      <w:pPr>
        <w:rPr>
          <w:lang w:val="it-IT"/>
        </w:rPr>
      </w:pPr>
    </w:p>
    <w:p w14:paraId="053A1278" w14:textId="77777777" w:rsidR="002B6F21" w:rsidRPr="00B14A84" w:rsidRDefault="002B6F21">
      <w:pPr>
        <w:rPr>
          <w:lang w:val="it-IT"/>
        </w:rPr>
      </w:pPr>
    </w:p>
    <w:p w14:paraId="1FE34031" w14:textId="77777777" w:rsidR="002B6F21" w:rsidRPr="00B14A84" w:rsidRDefault="002B6F21">
      <w:pPr>
        <w:rPr>
          <w:lang w:val="it-IT"/>
        </w:rPr>
      </w:pPr>
    </w:p>
    <w:p w14:paraId="6C224CEC" w14:textId="77777777" w:rsidR="002B6F21" w:rsidRPr="00B14A84" w:rsidRDefault="002B6F21">
      <w:pPr>
        <w:rPr>
          <w:lang w:val="it-IT"/>
        </w:rPr>
      </w:pPr>
    </w:p>
    <w:p w14:paraId="7AEDF19E" w14:textId="77777777" w:rsidR="002B6F21" w:rsidRPr="00B14A84" w:rsidRDefault="002B6F21">
      <w:pPr>
        <w:rPr>
          <w:lang w:val="it-IT"/>
        </w:rPr>
      </w:pPr>
    </w:p>
    <w:p w14:paraId="155B2C38" w14:textId="77777777" w:rsidR="002B6F21" w:rsidRPr="00B14A84" w:rsidRDefault="002B6F21" w:rsidP="002B6F21">
      <w:pPr>
        <w:rPr>
          <w:b/>
          <w:sz w:val="28"/>
          <w:szCs w:val="28"/>
          <w:lang w:val="it-IT"/>
        </w:rPr>
      </w:pPr>
      <w:r w:rsidRPr="00B14A84">
        <w:rPr>
          <w:b/>
          <w:sz w:val="28"/>
          <w:szCs w:val="28"/>
          <w:lang w:val="it-IT"/>
        </w:rPr>
        <w:lastRenderedPageBreak/>
        <w:t>8 marzo 2017 - Donne sempre più penalizzate: divise fra lavoro e famiglia.</w:t>
      </w:r>
    </w:p>
    <w:p w14:paraId="65BC1085" w14:textId="77777777" w:rsidR="00266C3D" w:rsidRPr="00460242" w:rsidRDefault="00266C3D" w:rsidP="002B6F21">
      <w:pPr>
        <w:rPr>
          <w:b/>
          <w:sz w:val="28"/>
          <w:szCs w:val="28"/>
        </w:rPr>
      </w:pPr>
      <w:proofErr w:type="spellStart"/>
      <w:r>
        <w:rPr>
          <w:b/>
          <w:sz w:val="28"/>
          <w:szCs w:val="28"/>
        </w:rPr>
        <w:t>Completa</w:t>
      </w:r>
      <w:proofErr w:type="spellEnd"/>
      <w:r>
        <w:rPr>
          <w:b/>
          <w:sz w:val="28"/>
          <w:szCs w:val="28"/>
        </w:rPr>
        <w:t>.</w:t>
      </w:r>
    </w:p>
    <w:tbl>
      <w:tblPr>
        <w:tblStyle w:val="TableGrid"/>
        <w:tblW w:w="0" w:type="auto"/>
        <w:tblLook w:val="04A0" w:firstRow="1" w:lastRow="0" w:firstColumn="1" w:lastColumn="0" w:noHBand="0" w:noVBand="1"/>
      </w:tblPr>
      <w:tblGrid>
        <w:gridCol w:w="3278"/>
        <w:gridCol w:w="2869"/>
        <w:gridCol w:w="2869"/>
      </w:tblGrid>
      <w:tr w:rsidR="002B6F21" w14:paraId="3A49BFC4" w14:textId="77777777" w:rsidTr="00184700">
        <w:tc>
          <w:tcPr>
            <w:tcW w:w="3278" w:type="dxa"/>
          </w:tcPr>
          <w:p w14:paraId="7AD2B6A6" w14:textId="77777777" w:rsidR="002B6F21" w:rsidRPr="00B14A84" w:rsidRDefault="002B6F21" w:rsidP="00184700">
            <w:pPr>
              <w:rPr>
                <w:lang w:val="it-IT"/>
              </w:rPr>
            </w:pPr>
            <w:r w:rsidRPr="00B14A84">
              <w:rPr>
                <w:lang w:val="it-IT"/>
              </w:rPr>
              <w:t>Percentuale di donne costrette ad accettare il part-time dal 2008</w:t>
            </w:r>
          </w:p>
        </w:tc>
        <w:tc>
          <w:tcPr>
            <w:tcW w:w="2869" w:type="dxa"/>
          </w:tcPr>
          <w:p w14:paraId="00B5F392" w14:textId="77777777" w:rsidR="002B6F21" w:rsidRDefault="002B6F21" w:rsidP="00184700">
            <w:r>
              <w:t>ITALIA</w:t>
            </w:r>
          </w:p>
          <w:p w14:paraId="5F4DE5DA" w14:textId="77777777" w:rsidR="002B6F21" w:rsidRDefault="002B6F21" w:rsidP="00184700"/>
          <w:p w14:paraId="4A77D6C7" w14:textId="77777777" w:rsidR="002B6F21" w:rsidRDefault="002B6F21" w:rsidP="00184700"/>
        </w:tc>
        <w:tc>
          <w:tcPr>
            <w:tcW w:w="2869" w:type="dxa"/>
          </w:tcPr>
          <w:p w14:paraId="72777BE3" w14:textId="77777777" w:rsidR="002B6F21" w:rsidRDefault="002B6F21" w:rsidP="00184700">
            <w:r>
              <w:t>ESTERO:</w:t>
            </w:r>
          </w:p>
          <w:p w14:paraId="6CD8AD5F" w14:textId="77777777" w:rsidR="002B6F21" w:rsidRDefault="002B6F21" w:rsidP="00184700"/>
          <w:p w14:paraId="4F8003BB" w14:textId="77777777" w:rsidR="002B6F21" w:rsidRDefault="002B6F21" w:rsidP="00184700"/>
          <w:p w14:paraId="7D1BFE43" w14:textId="77777777" w:rsidR="002B6F21" w:rsidRDefault="002B6F21" w:rsidP="00184700"/>
          <w:p w14:paraId="35F64EAB" w14:textId="77777777" w:rsidR="002B6F21" w:rsidRDefault="002B6F21" w:rsidP="00184700"/>
          <w:p w14:paraId="4534D98D" w14:textId="77777777" w:rsidR="002B6F21" w:rsidRDefault="002B6F21" w:rsidP="00184700"/>
          <w:p w14:paraId="178AD17D" w14:textId="77777777" w:rsidR="002B6F21" w:rsidRDefault="002B6F21" w:rsidP="00184700"/>
          <w:p w14:paraId="43936507" w14:textId="77777777" w:rsidR="002B6F21" w:rsidRDefault="002B6F21" w:rsidP="00184700"/>
          <w:p w14:paraId="0897955D" w14:textId="77777777" w:rsidR="002B6F21" w:rsidRDefault="002B6F21" w:rsidP="00184700"/>
        </w:tc>
      </w:tr>
      <w:tr w:rsidR="002B6F21" w14:paraId="038E6EC3" w14:textId="77777777" w:rsidTr="00184700">
        <w:tc>
          <w:tcPr>
            <w:tcW w:w="3278" w:type="dxa"/>
          </w:tcPr>
          <w:p w14:paraId="3A4E97C6" w14:textId="77777777" w:rsidR="002B6F21" w:rsidRPr="00B14A84" w:rsidRDefault="002B6F21" w:rsidP="00184700">
            <w:pPr>
              <w:rPr>
                <w:lang w:val="it-IT"/>
              </w:rPr>
            </w:pPr>
            <w:r w:rsidRPr="00B14A84">
              <w:rPr>
                <w:lang w:val="it-IT"/>
              </w:rPr>
              <w:t xml:space="preserve">Percentuale di guadagno non percepito dalle donne rispetto agli uomini (gender </w:t>
            </w:r>
            <w:proofErr w:type="spellStart"/>
            <w:r w:rsidRPr="00B14A84">
              <w:rPr>
                <w:lang w:val="it-IT"/>
              </w:rPr>
              <w:t>pay</w:t>
            </w:r>
            <w:proofErr w:type="spellEnd"/>
            <w:r w:rsidRPr="00B14A84">
              <w:rPr>
                <w:lang w:val="it-IT"/>
              </w:rPr>
              <w:t xml:space="preserve"> gap)</w:t>
            </w:r>
          </w:p>
        </w:tc>
        <w:tc>
          <w:tcPr>
            <w:tcW w:w="2869" w:type="dxa"/>
          </w:tcPr>
          <w:p w14:paraId="74214B09" w14:textId="77777777" w:rsidR="002B6F21" w:rsidRDefault="002B6F21" w:rsidP="00184700">
            <w:r>
              <w:t>SETTORE PUBBLICO</w:t>
            </w:r>
          </w:p>
          <w:p w14:paraId="3C489CBE" w14:textId="77777777" w:rsidR="002B6F21" w:rsidRDefault="002B6F21" w:rsidP="00184700"/>
          <w:p w14:paraId="48B20442" w14:textId="77777777" w:rsidR="002B6F21" w:rsidRDefault="002B6F21" w:rsidP="00184700"/>
          <w:p w14:paraId="705A2CA5" w14:textId="77777777" w:rsidR="002B6F21" w:rsidRDefault="002B6F21" w:rsidP="00184700"/>
          <w:p w14:paraId="4E6F9985" w14:textId="77777777" w:rsidR="002B6F21" w:rsidRDefault="002B6F21" w:rsidP="00184700"/>
        </w:tc>
        <w:tc>
          <w:tcPr>
            <w:tcW w:w="2869" w:type="dxa"/>
          </w:tcPr>
          <w:p w14:paraId="2A616C98" w14:textId="77777777" w:rsidR="002B6F21" w:rsidRDefault="002B6F21" w:rsidP="00184700">
            <w:r>
              <w:t>SETTORE PRIVATO</w:t>
            </w:r>
          </w:p>
          <w:p w14:paraId="768FBE8F" w14:textId="77777777" w:rsidR="002B6F21" w:rsidRDefault="002B6F21" w:rsidP="00184700"/>
        </w:tc>
      </w:tr>
      <w:tr w:rsidR="002B6F21" w14:paraId="7FE4B7DD" w14:textId="77777777" w:rsidTr="00184700">
        <w:tc>
          <w:tcPr>
            <w:tcW w:w="3278" w:type="dxa"/>
          </w:tcPr>
          <w:p w14:paraId="0A3BD73B" w14:textId="77777777" w:rsidR="002B6F21" w:rsidRPr="00B14A84" w:rsidRDefault="002B6F21" w:rsidP="00184700">
            <w:pPr>
              <w:rPr>
                <w:lang w:val="it-IT"/>
              </w:rPr>
            </w:pPr>
            <w:r w:rsidRPr="00B14A84">
              <w:rPr>
                <w:lang w:val="it-IT"/>
              </w:rPr>
              <w:t xml:space="preserve">Tempo dedicato alla famiglia/casa </w:t>
            </w:r>
          </w:p>
          <w:p w14:paraId="34BCA23D" w14:textId="77777777" w:rsidR="002B6F21" w:rsidRPr="00B14A84" w:rsidRDefault="002B6F21" w:rsidP="00184700">
            <w:pPr>
              <w:rPr>
                <w:lang w:val="it-IT"/>
              </w:rPr>
            </w:pPr>
            <w:r w:rsidRPr="00B14A84">
              <w:rPr>
                <w:lang w:val="it-IT"/>
              </w:rPr>
              <w:t>(in ore e minuti)</w:t>
            </w:r>
          </w:p>
        </w:tc>
        <w:tc>
          <w:tcPr>
            <w:tcW w:w="2869" w:type="dxa"/>
          </w:tcPr>
          <w:p w14:paraId="43A8D3A7" w14:textId="77777777" w:rsidR="002B6F21" w:rsidRDefault="002B6F21" w:rsidP="00184700">
            <w:r>
              <w:t>UOMINI</w:t>
            </w:r>
          </w:p>
          <w:p w14:paraId="3ECC912C" w14:textId="77777777" w:rsidR="002B6F21" w:rsidRDefault="002B6F21" w:rsidP="00184700"/>
          <w:p w14:paraId="48EA2737" w14:textId="77777777" w:rsidR="002B6F21" w:rsidRDefault="002B6F21" w:rsidP="00184700"/>
          <w:p w14:paraId="59EF47D7" w14:textId="77777777" w:rsidR="002B6F21" w:rsidRDefault="002B6F21" w:rsidP="00184700"/>
        </w:tc>
        <w:tc>
          <w:tcPr>
            <w:tcW w:w="2869" w:type="dxa"/>
          </w:tcPr>
          <w:p w14:paraId="4BA3DB4C" w14:textId="77777777" w:rsidR="002B6F21" w:rsidRDefault="002B6F21" w:rsidP="00184700">
            <w:r>
              <w:t>DONNE</w:t>
            </w:r>
          </w:p>
          <w:p w14:paraId="6820C46E" w14:textId="77777777" w:rsidR="002B6F21" w:rsidRDefault="002B6F21" w:rsidP="00184700"/>
          <w:p w14:paraId="4C1C9749" w14:textId="77777777" w:rsidR="002B6F21" w:rsidRDefault="002B6F21" w:rsidP="00184700"/>
        </w:tc>
      </w:tr>
      <w:tr w:rsidR="002B6F21" w14:paraId="5B709170" w14:textId="77777777" w:rsidTr="00184700">
        <w:tc>
          <w:tcPr>
            <w:tcW w:w="3278" w:type="dxa"/>
          </w:tcPr>
          <w:p w14:paraId="046E8C27" w14:textId="77777777" w:rsidR="002B6F21" w:rsidRDefault="002B6F21" w:rsidP="00184700">
            <w:r>
              <w:t xml:space="preserve">Tasso di </w:t>
            </w:r>
            <w:proofErr w:type="spellStart"/>
            <w:r>
              <w:t>occupazione</w:t>
            </w:r>
            <w:proofErr w:type="spellEnd"/>
            <w:r>
              <w:t xml:space="preserve"> </w:t>
            </w:r>
            <w:proofErr w:type="spellStart"/>
            <w:r>
              <w:t>femminile</w:t>
            </w:r>
            <w:proofErr w:type="spellEnd"/>
          </w:p>
        </w:tc>
        <w:tc>
          <w:tcPr>
            <w:tcW w:w="2869" w:type="dxa"/>
          </w:tcPr>
          <w:p w14:paraId="2003792E" w14:textId="77777777" w:rsidR="002B6F21" w:rsidRDefault="002B6F21" w:rsidP="00184700">
            <w:r>
              <w:t>ITALIA</w:t>
            </w:r>
          </w:p>
          <w:p w14:paraId="404C985A" w14:textId="77777777" w:rsidR="002B6F21" w:rsidRDefault="002B6F21" w:rsidP="00184700"/>
          <w:p w14:paraId="557D88D7" w14:textId="77777777" w:rsidR="002B6F21" w:rsidRDefault="002B6F21" w:rsidP="00184700"/>
          <w:p w14:paraId="4BF77945" w14:textId="77777777" w:rsidR="002B6F21" w:rsidRDefault="002B6F21" w:rsidP="00184700"/>
          <w:p w14:paraId="6FF42BBF" w14:textId="77777777" w:rsidR="002B6F21" w:rsidRDefault="002B6F21" w:rsidP="00184700"/>
          <w:p w14:paraId="053F3CDF" w14:textId="77777777" w:rsidR="002B6F21" w:rsidRDefault="002B6F21" w:rsidP="00184700"/>
          <w:p w14:paraId="660EDB80" w14:textId="77777777" w:rsidR="002B6F21" w:rsidRDefault="002B6F21" w:rsidP="00184700"/>
          <w:p w14:paraId="6307A8F2" w14:textId="77777777" w:rsidR="002B6F21" w:rsidRDefault="002B6F21" w:rsidP="00184700"/>
          <w:p w14:paraId="37E937E3" w14:textId="77777777" w:rsidR="002B6F21" w:rsidRDefault="002B6F21" w:rsidP="00184700"/>
        </w:tc>
        <w:tc>
          <w:tcPr>
            <w:tcW w:w="2869" w:type="dxa"/>
          </w:tcPr>
          <w:p w14:paraId="0911CF7E" w14:textId="77777777" w:rsidR="002B6F21" w:rsidRDefault="002B6F21" w:rsidP="00184700">
            <w:r>
              <w:t>ESTERO</w:t>
            </w:r>
          </w:p>
          <w:p w14:paraId="0B51C7F4" w14:textId="77777777" w:rsidR="002B6F21" w:rsidRDefault="002B6F21" w:rsidP="00184700"/>
        </w:tc>
      </w:tr>
      <w:tr w:rsidR="002B6F21" w14:paraId="75AD01F0" w14:textId="77777777" w:rsidTr="00184700">
        <w:tc>
          <w:tcPr>
            <w:tcW w:w="3278" w:type="dxa"/>
          </w:tcPr>
          <w:p w14:paraId="08885F91" w14:textId="77777777" w:rsidR="002B6F21" w:rsidRPr="00B14A84" w:rsidRDefault="002B6F21" w:rsidP="00184700">
            <w:pPr>
              <w:rPr>
                <w:lang w:val="it-IT"/>
              </w:rPr>
            </w:pPr>
            <w:r w:rsidRPr="00B14A84">
              <w:rPr>
                <w:lang w:val="it-IT"/>
              </w:rPr>
              <w:t>Differenza fra tasso di occupazione maschile e femminile (gender gap)</w:t>
            </w:r>
          </w:p>
          <w:p w14:paraId="72C6E409" w14:textId="77777777" w:rsidR="002B6F21" w:rsidRPr="00B14A84" w:rsidRDefault="002B6F21" w:rsidP="00184700">
            <w:pPr>
              <w:rPr>
                <w:lang w:val="it-IT"/>
              </w:rPr>
            </w:pPr>
          </w:p>
        </w:tc>
        <w:tc>
          <w:tcPr>
            <w:tcW w:w="2869" w:type="dxa"/>
          </w:tcPr>
          <w:p w14:paraId="53272D79" w14:textId="77777777" w:rsidR="002B6F21" w:rsidRDefault="002B6F21" w:rsidP="00184700">
            <w:r>
              <w:t>ITALIA</w:t>
            </w:r>
          </w:p>
          <w:p w14:paraId="21084CB5" w14:textId="77777777" w:rsidR="002B6F21" w:rsidRDefault="002B6F21" w:rsidP="00184700"/>
          <w:p w14:paraId="567375BF" w14:textId="77777777" w:rsidR="002B6F21" w:rsidRDefault="002B6F21" w:rsidP="00184700"/>
        </w:tc>
        <w:tc>
          <w:tcPr>
            <w:tcW w:w="2869" w:type="dxa"/>
          </w:tcPr>
          <w:p w14:paraId="267910DB" w14:textId="77777777" w:rsidR="002B6F21" w:rsidRDefault="002B6F21" w:rsidP="00184700">
            <w:r>
              <w:t>ESTERO</w:t>
            </w:r>
          </w:p>
          <w:p w14:paraId="0D886DB0" w14:textId="77777777" w:rsidR="002B6F21" w:rsidRDefault="002B6F21" w:rsidP="00184700"/>
          <w:p w14:paraId="45E4C165" w14:textId="77777777" w:rsidR="002B6F21" w:rsidRDefault="002B6F21" w:rsidP="00184700"/>
          <w:p w14:paraId="73DC0BF7" w14:textId="77777777" w:rsidR="002B6F21" w:rsidRDefault="002B6F21" w:rsidP="00184700"/>
          <w:p w14:paraId="5BC3FF7C" w14:textId="77777777" w:rsidR="002B6F21" w:rsidRDefault="002B6F21" w:rsidP="00184700"/>
          <w:p w14:paraId="092D2286" w14:textId="77777777" w:rsidR="002B6F21" w:rsidRDefault="002B6F21" w:rsidP="00184700"/>
          <w:p w14:paraId="2392266E" w14:textId="77777777" w:rsidR="002B6F21" w:rsidRDefault="002B6F21" w:rsidP="00184700"/>
          <w:p w14:paraId="38D902D5" w14:textId="77777777" w:rsidR="002B6F21" w:rsidRDefault="002B6F21" w:rsidP="00184700"/>
          <w:p w14:paraId="784E7A0B" w14:textId="77777777" w:rsidR="002B6F21" w:rsidRDefault="002B6F21" w:rsidP="00184700"/>
        </w:tc>
      </w:tr>
      <w:tr w:rsidR="002B6F21" w14:paraId="485C7EA1" w14:textId="77777777" w:rsidTr="00184700">
        <w:tc>
          <w:tcPr>
            <w:tcW w:w="3278" w:type="dxa"/>
          </w:tcPr>
          <w:p w14:paraId="09303D77" w14:textId="77777777" w:rsidR="002B6F21" w:rsidRPr="00B14A84" w:rsidRDefault="002B6F21" w:rsidP="00184700">
            <w:pPr>
              <w:rPr>
                <w:lang w:val="it-IT"/>
              </w:rPr>
            </w:pPr>
          </w:p>
          <w:p w14:paraId="1AB2B9A7" w14:textId="77777777" w:rsidR="002B6F21" w:rsidRPr="00B14A84" w:rsidRDefault="002B6F21" w:rsidP="00184700">
            <w:pPr>
              <w:rPr>
                <w:lang w:val="it-IT"/>
              </w:rPr>
            </w:pPr>
            <w:r w:rsidRPr="00B14A84">
              <w:rPr>
                <w:lang w:val="it-IT"/>
              </w:rPr>
              <w:t>Tasso di occupazione femminile nel Mezzogiorno</w:t>
            </w:r>
          </w:p>
          <w:p w14:paraId="5588F0B7" w14:textId="77777777" w:rsidR="002B6F21" w:rsidRPr="00B14A84" w:rsidRDefault="002B6F21" w:rsidP="00184700">
            <w:pPr>
              <w:rPr>
                <w:lang w:val="it-IT"/>
              </w:rPr>
            </w:pPr>
          </w:p>
        </w:tc>
        <w:tc>
          <w:tcPr>
            <w:tcW w:w="2869" w:type="dxa"/>
          </w:tcPr>
          <w:p w14:paraId="01878D67" w14:textId="77777777" w:rsidR="002B6F21" w:rsidRPr="00B14A84" w:rsidRDefault="002B6F21" w:rsidP="00184700">
            <w:pPr>
              <w:rPr>
                <w:lang w:val="it-IT"/>
              </w:rPr>
            </w:pPr>
            <w:r w:rsidRPr="00B14A84">
              <w:rPr>
                <w:lang w:val="it-IT"/>
              </w:rPr>
              <w:t>CITTÀ DEL SUD</w:t>
            </w:r>
          </w:p>
          <w:p w14:paraId="484851A1" w14:textId="77777777" w:rsidR="002B6F21" w:rsidRPr="00B14A84" w:rsidRDefault="002B6F21" w:rsidP="00184700">
            <w:pPr>
              <w:rPr>
                <w:lang w:val="it-IT"/>
              </w:rPr>
            </w:pPr>
            <w:r w:rsidRPr="00B14A84">
              <w:rPr>
                <w:lang w:val="it-IT"/>
              </w:rPr>
              <w:t>In media 31,7%</w:t>
            </w:r>
          </w:p>
          <w:p w14:paraId="19706396" w14:textId="77777777" w:rsidR="002B6F21" w:rsidRPr="00B14A84" w:rsidRDefault="002B6F21" w:rsidP="00184700">
            <w:pPr>
              <w:rPr>
                <w:lang w:val="it-IT"/>
              </w:rPr>
            </w:pPr>
          </w:p>
          <w:p w14:paraId="07A9251F" w14:textId="77777777" w:rsidR="002B6F21" w:rsidRPr="00B14A84" w:rsidRDefault="002B6F21" w:rsidP="00184700">
            <w:pPr>
              <w:rPr>
                <w:lang w:val="it-IT"/>
              </w:rPr>
            </w:pPr>
          </w:p>
          <w:p w14:paraId="7F01CF81" w14:textId="77777777" w:rsidR="002B6F21" w:rsidRPr="00B14A84" w:rsidRDefault="002B6F21" w:rsidP="00184700">
            <w:pPr>
              <w:rPr>
                <w:lang w:val="it-IT"/>
              </w:rPr>
            </w:pPr>
          </w:p>
          <w:p w14:paraId="03827F61" w14:textId="77777777" w:rsidR="002B6F21" w:rsidRPr="00B14A84" w:rsidRDefault="002B6F21" w:rsidP="00184700">
            <w:pPr>
              <w:rPr>
                <w:lang w:val="it-IT"/>
              </w:rPr>
            </w:pPr>
          </w:p>
          <w:p w14:paraId="405D54ED" w14:textId="77777777" w:rsidR="002B6F21" w:rsidRPr="00B14A84" w:rsidRDefault="002B6F21" w:rsidP="00184700">
            <w:pPr>
              <w:rPr>
                <w:lang w:val="it-IT"/>
              </w:rPr>
            </w:pPr>
          </w:p>
          <w:p w14:paraId="578FD3C6" w14:textId="77777777" w:rsidR="002B6F21" w:rsidRPr="00B14A84" w:rsidRDefault="002B6F21" w:rsidP="00184700">
            <w:pPr>
              <w:rPr>
                <w:lang w:val="it-IT"/>
              </w:rPr>
            </w:pPr>
          </w:p>
          <w:p w14:paraId="43BC3E4D" w14:textId="77777777" w:rsidR="002B6F21" w:rsidRPr="00B14A84" w:rsidRDefault="002B6F21" w:rsidP="00184700">
            <w:pPr>
              <w:rPr>
                <w:lang w:val="it-IT"/>
              </w:rPr>
            </w:pPr>
          </w:p>
          <w:p w14:paraId="27AEF4FA" w14:textId="77777777" w:rsidR="002B6F21" w:rsidRPr="00B14A84" w:rsidRDefault="002B6F21" w:rsidP="00184700">
            <w:pPr>
              <w:rPr>
                <w:lang w:val="it-IT"/>
              </w:rPr>
            </w:pPr>
          </w:p>
          <w:p w14:paraId="7DF8EEF6" w14:textId="77777777" w:rsidR="002B6F21" w:rsidRPr="00B14A84" w:rsidRDefault="002B6F21" w:rsidP="00184700">
            <w:pPr>
              <w:rPr>
                <w:lang w:val="it-IT"/>
              </w:rPr>
            </w:pPr>
          </w:p>
        </w:tc>
        <w:tc>
          <w:tcPr>
            <w:tcW w:w="2869" w:type="dxa"/>
          </w:tcPr>
          <w:p w14:paraId="51F452E5" w14:textId="77777777" w:rsidR="002B6F21" w:rsidRDefault="002B6F21" w:rsidP="00184700">
            <w:r>
              <w:t>CITTÀ DEL NORD</w:t>
            </w:r>
          </w:p>
          <w:p w14:paraId="251CFB07" w14:textId="77777777" w:rsidR="002B6F21" w:rsidRDefault="002B6F21" w:rsidP="00184700"/>
          <w:p w14:paraId="63D6FB3B" w14:textId="77777777" w:rsidR="002B6F21" w:rsidRDefault="002B6F21" w:rsidP="00184700"/>
          <w:p w14:paraId="4970EF68" w14:textId="77777777" w:rsidR="002B6F21" w:rsidRDefault="002B6F21" w:rsidP="00184700"/>
          <w:p w14:paraId="0C9D54FB" w14:textId="77777777" w:rsidR="002B6F21" w:rsidRDefault="002B6F21" w:rsidP="00184700"/>
          <w:p w14:paraId="0AD1DFC1" w14:textId="77777777" w:rsidR="002B6F21" w:rsidRDefault="002B6F21" w:rsidP="00184700"/>
          <w:p w14:paraId="308195ED" w14:textId="77777777" w:rsidR="002B6F21" w:rsidRDefault="002B6F21" w:rsidP="00184700"/>
          <w:p w14:paraId="76618261" w14:textId="77777777" w:rsidR="002B6F21" w:rsidRDefault="002B6F21" w:rsidP="00184700"/>
          <w:p w14:paraId="15D3C8EA" w14:textId="77777777" w:rsidR="002B6F21" w:rsidRDefault="002B6F21" w:rsidP="00184700"/>
          <w:p w14:paraId="78CF6E47" w14:textId="77777777" w:rsidR="002B6F21" w:rsidRDefault="002B6F21" w:rsidP="00184700"/>
          <w:p w14:paraId="48C69F9D" w14:textId="77777777" w:rsidR="002B6F21" w:rsidRDefault="002B6F21" w:rsidP="00184700"/>
          <w:p w14:paraId="06E633C3" w14:textId="77777777" w:rsidR="002B6F21" w:rsidRDefault="002B6F21" w:rsidP="00184700"/>
        </w:tc>
      </w:tr>
      <w:tr w:rsidR="002B6F21" w14:paraId="68DE728D" w14:textId="77777777" w:rsidTr="00184700">
        <w:tc>
          <w:tcPr>
            <w:tcW w:w="3278" w:type="dxa"/>
          </w:tcPr>
          <w:p w14:paraId="1F72C892" w14:textId="77777777" w:rsidR="002B6F21" w:rsidRDefault="002B6F21" w:rsidP="00184700"/>
          <w:p w14:paraId="118559F7" w14:textId="77777777" w:rsidR="002B6F21" w:rsidRDefault="002B6F21" w:rsidP="00184700">
            <w:proofErr w:type="spellStart"/>
            <w:r>
              <w:t>Percentuale</w:t>
            </w:r>
            <w:proofErr w:type="spellEnd"/>
            <w:r>
              <w:t xml:space="preserve"> di </w:t>
            </w:r>
            <w:proofErr w:type="spellStart"/>
            <w:r>
              <w:t>donne</w:t>
            </w:r>
            <w:proofErr w:type="spellEnd"/>
            <w:r>
              <w:t xml:space="preserve"> laureate</w:t>
            </w:r>
          </w:p>
        </w:tc>
        <w:tc>
          <w:tcPr>
            <w:tcW w:w="2869" w:type="dxa"/>
          </w:tcPr>
          <w:p w14:paraId="43D912CD" w14:textId="77777777" w:rsidR="002B6F21" w:rsidRDefault="002B6F21" w:rsidP="00184700"/>
          <w:p w14:paraId="79B3138B" w14:textId="77777777" w:rsidR="002B6F21" w:rsidRDefault="002B6F21" w:rsidP="00184700">
            <w:r>
              <w:t xml:space="preserve">55,6% </w:t>
            </w:r>
            <w:proofErr w:type="spellStart"/>
            <w:r>
              <w:t>nel</w:t>
            </w:r>
            <w:proofErr w:type="spellEnd"/>
            <w:r>
              <w:t xml:space="preserve"> 2016</w:t>
            </w:r>
          </w:p>
        </w:tc>
        <w:tc>
          <w:tcPr>
            <w:tcW w:w="2869" w:type="dxa"/>
          </w:tcPr>
          <w:p w14:paraId="6601A9DD" w14:textId="77777777" w:rsidR="002B6F21" w:rsidRDefault="002B6F21" w:rsidP="00184700"/>
        </w:tc>
      </w:tr>
    </w:tbl>
    <w:p w14:paraId="38DD814F" w14:textId="77777777" w:rsidR="002B6F21" w:rsidRDefault="002B6F21" w:rsidP="002B6F21"/>
    <w:p w14:paraId="24B697BB" w14:textId="77777777" w:rsidR="002B6F21" w:rsidRPr="00266C3D" w:rsidRDefault="002B6F21" w:rsidP="002B6F21">
      <w:pPr>
        <w:rPr>
          <w:b/>
          <w:sz w:val="24"/>
          <w:szCs w:val="24"/>
          <w:u w:val="single"/>
        </w:rPr>
      </w:pPr>
      <w:bookmarkStart w:id="0" w:name="_GoBack"/>
      <w:bookmarkEnd w:id="0"/>
      <w:r w:rsidRPr="00266C3D">
        <w:rPr>
          <w:b/>
          <w:sz w:val="24"/>
          <w:szCs w:val="24"/>
          <w:u w:val="single"/>
        </w:rPr>
        <w:lastRenderedPageBreak/>
        <w:t>RISPOSTE.</w:t>
      </w:r>
    </w:p>
    <w:p w14:paraId="0BE7A738" w14:textId="77777777" w:rsidR="002B6F21" w:rsidRPr="00B14A84" w:rsidRDefault="002B6F21" w:rsidP="002B6F21">
      <w:pPr>
        <w:rPr>
          <w:b/>
          <w:sz w:val="28"/>
          <w:szCs w:val="28"/>
          <w:lang w:val="it-IT"/>
        </w:rPr>
      </w:pPr>
      <w:r w:rsidRPr="00B14A84">
        <w:rPr>
          <w:b/>
          <w:sz w:val="28"/>
          <w:szCs w:val="28"/>
          <w:lang w:val="it-IT"/>
        </w:rPr>
        <w:t>8 marzo 2017 - Donne sempre più penalizzate: divise fra lavoro e famiglia.</w:t>
      </w:r>
    </w:p>
    <w:tbl>
      <w:tblPr>
        <w:tblStyle w:val="TableGrid"/>
        <w:tblW w:w="0" w:type="auto"/>
        <w:tblLook w:val="04A0" w:firstRow="1" w:lastRow="0" w:firstColumn="1" w:lastColumn="0" w:noHBand="0" w:noVBand="1"/>
      </w:tblPr>
      <w:tblGrid>
        <w:gridCol w:w="3278"/>
        <w:gridCol w:w="2869"/>
        <w:gridCol w:w="2869"/>
      </w:tblGrid>
      <w:tr w:rsidR="002B6F21" w14:paraId="2915DC73" w14:textId="77777777" w:rsidTr="00184700">
        <w:tc>
          <w:tcPr>
            <w:tcW w:w="3278" w:type="dxa"/>
          </w:tcPr>
          <w:p w14:paraId="5106D15B" w14:textId="77777777" w:rsidR="002B6F21" w:rsidRPr="00B14A84" w:rsidRDefault="002B6F21" w:rsidP="00184700">
            <w:pPr>
              <w:rPr>
                <w:lang w:val="it-IT"/>
              </w:rPr>
            </w:pPr>
            <w:r w:rsidRPr="00B14A84">
              <w:rPr>
                <w:lang w:val="it-IT"/>
              </w:rPr>
              <w:t>Percentuale di donne costrette ad accettare il part-time dal 2008</w:t>
            </w:r>
          </w:p>
        </w:tc>
        <w:tc>
          <w:tcPr>
            <w:tcW w:w="2869" w:type="dxa"/>
          </w:tcPr>
          <w:p w14:paraId="0D9A6AE0" w14:textId="77777777" w:rsidR="002B6F21" w:rsidRDefault="002B6F21" w:rsidP="00184700">
            <w:r>
              <w:t>ITALIA</w:t>
            </w:r>
          </w:p>
          <w:p w14:paraId="7802CC8B" w14:textId="77777777" w:rsidR="002B6F21" w:rsidRDefault="002B6F21" w:rsidP="00184700"/>
          <w:p w14:paraId="1E6DE10A" w14:textId="77777777" w:rsidR="002B6F21" w:rsidRDefault="002B6F21" w:rsidP="00184700">
            <w:r>
              <w:t>58,5%</w:t>
            </w:r>
          </w:p>
          <w:p w14:paraId="785F0FE0" w14:textId="77777777" w:rsidR="002B6F21" w:rsidRDefault="002B6F21" w:rsidP="00184700"/>
          <w:p w14:paraId="71F0FD02" w14:textId="77777777" w:rsidR="002B6F21" w:rsidRDefault="002B6F21" w:rsidP="00184700">
            <w:r>
              <w:t>(</w:t>
            </w:r>
            <w:proofErr w:type="spellStart"/>
            <w:r>
              <w:t>incremen</w:t>
            </w:r>
            <w:r w:rsidR="00664B25">
              <w:t>t</w:t>
            </w:r>
            <w:r>
              <w:t>o</w:t>
            </w:r>
            <w:proofErr w:type="spellEnd"/>
            <w:r>
              <w:t xml:space="preserve">  del 91,6% dal 2008)</w:t>
            </w:r>
          </w:p>
        </w:tc>
        <w:tc>
          <w:tcPr>
            <w:tcW w:w="2869" w:type="dxa"/>
          </w:tcPr>
          <w:p w14:paraId="452720A6" w14:textId="77777777" w:rsidR="002B6F21" w:rsidRDefault="002B6F21" w:rsidP="00184700">
            <w:r>
              <w:t>ESTERO:</w:t>
            </w:r>
          </w:p>
          <w:p w14:paraId="091C61F1" w14:textId="77777777" w:rsidR="002B6F21" w:rsidRDefault="002B6F21" w:rsidP="00184700"/>
          <w:p w14:paraId="20E601AA" w14:textId="77777777" w:rsidR="002B6F21" w:rsidRDefault="002B6F21" w:rsidP="00184700">
            <w:r>
              <w:t>Germania: 12,1%</w:t>
            </w:r>
          </w:p>
          <w:p w14:paraId="32DAA98E" w14:textId="77777777" w:rsidR="002B6F21" w:rsidRDefault="002B6F21" w:rsidP="00184700">
            <w:proofErr w:type="spellStart"/>
            <w:r>
              <w:t>Regno</w:t>
            </w:r>
            <w:proofErr w:type="spellEnd"/>
            <w:r>
              <w:t xml:space="preserve"> </w:t>
            </w:r>
            <w:proofErr w:type="spellStart"/>
            <w:r>
              <w:t>Unito</w:t>
            </w:r>
            <w:proofErr w:type="spellEnd"/>
            <w:r>
              <w:t>: 13,3%</w:t>
            </w:r>
          </w:p>
          <w:p w14:paraId="09A77B6A" w14:textId="77777777" w:rsidR="002B6F21" w:rsidRDefault="002B6F21" w:rsidP="00184700"/>
          <w:p w14:paraId="79364847" w14:textId="77777777" w:rsidR="002B6F21" w:rsidRDefault="002B6F21" w:rsidP="00184700"/>
          <w:p w14:paraId="327FC388" w14:textId="77777777" w:rsidR="002B6F21" w:rsidRDefault="002B6F21" w:rsidP="00184700"/>
          <w:p w14:paraId="6A7CF612" w14:textId="77777777" w:rsidR="002B6F21" w:rsidRDefault="002B6F21" w:rsidP="00184700"/>
          <w:p w14:paraId="56F8FD2F" w14:textId="77777777" w:rsidR="002B6F21" w:rsidRDefault="002B6F21" w:rsidP="00184700"/>
        </w:tc>
      </w:tr>
      <w:tr w:rsidR="002B6F21" w14:paraId="58C915E8" w14:textId="77777777" w:rsidTr="00184700">
        <w:tc>
          <w:tcPr>
            <w:tcW w:w="3278" w:type="dxa"/>
          </w:tcPr>
          <w:p w14:paraId="46B70297" w14:textId="77777777" w:rsidR="002B6F21" w:rsidRPr="00B14A84" w:rsidRDefault="002B6F21" w:rsidP="00184700">
            <w:pPr>
              <w:rPr>
                <w:lang w:val="it-IT"/>
              </w:rPr>
            </w:pPr>
            <w:r w:rsidRPr="00B14A84">
              <w:rPr>
                <w:lang w:val="it-IT"/>
              </w:rPr>
              <w:t xml:space="preserve">Percentuale di guadagno non percepito dalle donne rispetto agli uomini (gender </w:t>
            </w:r>
            <w:proofErr w:type="spellStart"/>
            <w:r w:rsidRPr="00B14A84">
              <w:rPr>
                <w:lang w:val="it-IT"/>
              </w:rPr>
              <w:t>pay</w:t>
            </w:r>
            <w:proofErr w:type="spellEnd"/>
            <w:r w:rsidRPr="00B14A84">
              <w:rPr>
                <w:lang w:val="it-IT"/>
              </w:rPr>
              <w:t xml:space="preserve"> gap)</w:t>
            </w:r>
          </w:p>
        </w:tc>
        <w:tc>
          <w:tcPr>
            <w:tcW w:w="2869" w:type="dxa"/>
          </w:tcPr>
          <w:p w14:paraId="75EB3A63" w14:textId="77777777" w:rsidR="002B6F21" w:rsidRDefault="002B6F21" w:rsidP="00184700">
            <w:r>
              <w:t>SETTORE PUBBLICO</w:t>
            </w:r>
          </w:p>
          <w:p w14:paraId="5C2BD881" w14:textId="77777777" w:rsidR="002B6F21" w:rsidRDefault="002B6F21" w:rsidP="00184700">
            <w:r>
              <w:t>3,7%</w:t>
            </w:r>
          </w:p>
          <w:p w14:paraId="191DC679" w14:textId="77777777" w:rsidR="002B6F21" w:rsidRDefault="002B6F21" w:rsidP="00184700"/>
          <w:p w14:paraId="2653E23B" w14:textId="77777777" w:rsidR="002B6F21" w:rsidRDefault="002B6F21" w:rsidP="00184700"/>
          <w:p w14:paraId="7B1AB5D7" w14:textId="77777777" w:rsidR="002B6F21" w:rsidRDefault="002B6F21" w:rsidP="00184700"/>
          <w:p w14:paraId="4ABEF317" w14:textId="77777777" w:rsidR="002B6F21" w:rsidRDefault="002B6F21" w:rsidP="00184700"/>
        </w:tc>
        <w:tc>
          <w:tcPr>
            <w:tcW w:w="2869" w:type="dxa"/>
          </w:tcPr>
          <w:p w14:paraId="1A80881C" w14:textId="77777777" w:rsidR="002B6F21" w:rsidRDefault="002B6F21" w:rsidP="00184700">
            <w:r>
              <w:t>SETTORE PRIVATO</w:t>
            </w:r>
          </w:p>
          <w:p w14:paraId="4FF249FA" w14:textId="77777777" w:rsidR="002B6F21" w:rsidRDefault="002B6F21" w:rsidP="00184700">
            <w:r>
              <w:t>19,6%</w:t>
            </w:r>
          </w:p>
          <w:p w14:paraId="1D0CD151" w14:textId="77777777" w:rsidR="002B6F21" w:rsidRDefault="002B6F21" w:rsidP="00184700">
            <w:proofErr w:type="spellStart"/>
            <w:r>
              <w:t>Dirigenti</w:t>
            </w:r>
            <w:proofErr w:type="spellEnd"/>
            <w:r>
              <w:t>: 38,7%</w:t>
            </w:r>
          </w:p>
          <w:p w14:paraId="0FC6CD92" w14:textId="77777777" w:rsidR="002B6F21" w:rsidRDefault="002B6F21" w:rsidP="00184700"/>
        </w:tc>
      </w:tr>
      <w:tr w:rsidR="002B6F21" w14:paraId="3F6C2DCC" w14:textId="77777777" w:rsidTr="00184700">
        <w:tc>
          <w:tcPr>
            <w:tcW w:w="3278" w:type="dxa"/>
          </w:tcPr>
          <w:p w14:paraId="355A4424" w14:textId="77777777" w:rsidR="002B6F21" w:rsidRPr="00B14A84" w:rsidRDefault="002B6F21" w:rsidP="00184700">
            <w:pPr>
              <w:rPr>
                <w:lang w:val="it-IT"/>
              </w:rPr>
            </w:pPr>
            <w:r w:rsidRPr="00B14A84">
              <w:rPr>
                <w:lang w:val="it-IT"/>
              </w:rPr>
              <w:t xml:space="preserve">Tempo dedicato alla famiglia/casa </w:t>
            </w:r>
          </w:p>
        </w:tc>
        <w:tc>
          <w:tcPr>
            <w:tcW w:w="2869" w:type="dxa"/>
          </w:tcPr>
          <w:p w14:paraId="62F4F144" w14:textId="77777777" w:rsidR="002B6F21" w:rsidRDefault="002B6F21" w:rsidP="00184700">
            <w:r>
              <w:t>UOMINI</w:t>
            </w:r>
          </w:p>
          <w:p w14:paraId="69D8B5E3" w14:textId="77777777" w:rsidR="002B6F21" w:rsidRDefault="002B6F21" w:rsidP="00184700">
            <w:proofErr w:type="spellStart"/>
            <w:r>
              <w:t>Un’ora</w:t>
            </w:r>
            <w:proofErr w:type="spellEnd"/>
            <w:r>
              <w:t xml:space="preserve"> e 50 </w:t>
            </w:r>
            <w:proofErr w:type="spellStart"/>
            <w:r>
              <w:t>minuti</w:t>
            </w:r>
            <w:proofErr w:type="spellEnd"/>
          </w:p>
        </w:tc>
        <w:tc>
          <w:tcPr>
            <w:tcW w:w="2869" w:type="dxa"/>
          </w:tcPr>
          <w:p w14:paraId="39C6ACCB" w14:textId="77777777" w:rsidR="002B6F21" w:rsidRDefault="002B6F21" w:rsidP="00184700">
            <w:r>
              <w:t>DONNE</w:t>
            </w:r>
          </w:p>
          <w:p w14:paraId="15DFADBB" w14:textId="77777777" w:rsidR="002B6F21" w:rsidRDefault="002B6F21" w:rsidP="00184700">
            <w:r>
              <w:t xml:space="preserve">5 ore e 13 </w:t>
            </w:r>
            <w:proofErr w:type="spellStart"/>
            <w:r>
              <w:t>minuti</w:t>
            </w:r>
            <w:proofErr w:type="spellEnd"/>
          </w:p>
          <w:p w14:paraId="4118AB70" w14:textId="77777777" w:rsidR="002B6F21" w:rsidRDefault="002B6F21" w:rsidP="00184700"/>
          <w:p w14:paraId="6A75AC9F" w14:textId="77777777" w:rsidR="002B6F21" w:rsidRDefault="002B6F21" w:rsidP="00184700"/>
        </w:tc>
      </w:tr>
      <w:tr w:rsidR="002B6F21" w14:paraId="17A9E694" w14:textId="77777777" w:rsidTr="00184700">
        <w:tc>
          <w:tcPr>
            <w:tcW w:w="3278" w:type="dxa"/>
          </w:tcPr>
          <w:p w14:paraId="3425C360" w14:textId="77777777" w:rsidR="002B6F21" w:rsidRDefault="002B6F21" w:rsidP="00184700">
            <w:r>
              <w:t xml:space="preserve">Tasso di </w:t>
            </w:r>
            <w:proofErr w:type="spellStart"/>
            <w:r>
              <w:t>occupazione</w:t>
            </w:r>
            <w:proofErr w:type="spellEnd"/>
            <w:r>
              <w:t xml:space="preserve"> </w:t>
            </w:r>
            <w:proofErr w:type="spellStart"/>
            <w:r>
              <w:t>femminile</w:t>
            </w:r>
            <w:proofErr w:type="spellEnd"/>
          </w:p>
        </w:tc>
        <w:tc>
          <w:tcPr>
            <w:tcW w:w="2869" w:type="dxa"/>
          </w:tcPr>
          <w:p w14:paraId="27C512AB" w14:textId="77777777" w:rsidR="002B6F21" w:rsidRDefault="002B6F21" w:rsidP="00184700">
            <w:r>
              <w:t>ITALIA</w:t>
            </w:r>
          </w:p>
          <w:p w14:paraId="4E69E6F6" w14:textId="77777777" w:rsidR="002B6F21" w:rsidRDefault="002B6F21" w:rsidP="00184700">
            <w:r>
              <w:t>48%</w:t>
            </w:r>
          </w:p>
        </w:tc>
        <w:tc>
          <w:tcPr>
            <w:tcW w:w="2869" w:type="dxa"/>
          </w:tcPr>
          <w:p w14:paraId="4FCE5816" w14:textId="77777777" w:rsidR="002B6F21" w:rsidRPr="00B14A84" w:rsidRDefault="002B6F21" w:rsidP="00184700">
            <w:pPr>
              <w:rPr>
                <w:lang w:val="it-IT"/>
              </w:rPr>
            </w:pPr>
            <w:r w:rsidRPr="00B14A84">
              <w:rPr>
                <w:lang w:val="it-IT"/>
              </w:rPr>
              <w:t>ESTERO</w:t>
            </w:r>
          </w:p>
          <w:p w14:paraId="3A163356" w14:textId="77777777" w:rsidR="002B6F21" w:rsidRPr="00B14A84" w:rsidRDefault="002B6F21" w:rsidP="00184700">
            <w:pPr>
              <w:rPr>
                <w:lang w:val="it-IT"/>
              </w:rPr>
            </w:pPr>
            <w:r w:rsidRPr="00B14A84">
              <w:rPr>
                <w:lang w:val="it-IT"/>
              </w:rPr>
              <w:t>Grecia 43,4%</w:t>
            </w:r>
          </w:p>
          <w:p w14:paraId="00BC40F0" w14:textId="77777777" w:rsidR="002B6F21" w:rsidRPr="00B14A84" w:rsidRDefault="002B6F21" w:rsidP="00184700">
            <w:pPr>
              <w:rPr>
                <w:lang w:val="it-IT"/>
              </w:rPr>
            </w:pPr>
            <w:r w:rsidRPr="00B14A84">
              <w:rPr>
                <w:lang w:val="it-IT"/>
              </w:rPr>
              <w:t>Svezia 74,9%</w:t>
            </w:r>
          </w:p>
          <w:p w14:paraId="5113F0BB" w14:textId="77777777" w:rsidR="002B6F21" w:rsidRPr="00B14A84" w:rsidRDefault="002B6F21" w:rsidP="00184700">
            <w:pPr>
              <w:rPr>
                <w:lang w:val="it-IT"/>
              </w:rPr>
            </w:pPr>
            <w:r w:rsidRPr="00B14A84">
              <w:rPr>
                <w:lang w:val="it-IT"/>
              </w:rPr>
              <w:t>Germania 70,6%</w:t>
            </w:r>
          </w:p>
          <w:p w14:paraId="050722F6" w14:textId="77777777" w:rsidR="002B6F21" w:rsidRPr="00B14A84" w:rsidRDefault="002B6F21" w:rsidP="00184700">
            <w:pPr>
              <w:rPr>
                <w:lang w:val="it-IT"/>
              </w:rPr>
            </w:pPr>
            <w:r w:rsidRPr="00B14A84">
              <w:rPr>
                <w:lang w:val="it-IT"/>
              </w:rPr>
              <w:t>Regno Unito 68,6%</w:t>
            </w:r>
          </w:p>
          <w:p w14:paraId="7DD4DAF4" w14:textId="77777777" w:rsidR="002B6F21" w:rsidRDefault="002B6F21" w:rsidP="00184700">
            <w:proofErr w:type="spellStart"/>
            <w:r>
              <w:t>Francia</w:t>
            </w:r>
            <w:proofErr w:type="spellEnd"/>
            <w:r>
              <w:t xml:space="preserve"> 61%</w:t>
            </w:r>
          </w:p>
          <w:p w14:paraId="69E0CD8E" w14:textId="77777777" w:rsidR="002B6F21" w:rsidRDefault="002B6F21" w:rsidP="00184700">
            <w:proofErr w:type="spellStart"/>
            <w:r>
              <w:t>Spagna</w:t>
            </w:r>
            <w:proofErr w:type="spellEnd"/>
            <w:r>
              <w:t xml:space="preserve"> 54,1%</w:t>
            </w:r>
          </w:p>
          <w:p w14:paraId="703AB7CB" w14:textId="77777777" w:rsidR="002B6F21" w:rsidRDefault="002B6F21" w:rsidP="00184700"/>
        </w:tc>
      </w:tr>
      <w:tr w:rsidR="002B6F21" w14:paraId="1205E4E1" w14:textId="77777777" w:rsidTr="00184700">
        <w:tc>
          <w:tcPr>
            <w:tcW w:w="3278" w:type="dxa"/>
          </w:tcPr>
          <w:p w14:paraId="6BFF6ABE" w14:textId="77777777" w:rsidR="002B6F21" w:rsidRPr="00B14A84" w:rsidRDefault="002B6F21" w:rsidP="00184700">
            <w:pPr>
              <w:rPr>
                <w:lang w:val="it-IT"/>
              </w:rPr>
            </w:pPr>
            <w:r w:rsidRPr="00B14A84">
              <w:rPr>
                <w:lang w:val="it-IT"/>
              </w:rPr>
              <w:t>Differenza fra tasso di occupazione maschile e femminile (gender gap)</w:t>
            </w:r>
          </w:p>
          <w:p w14:paraId="40AEF6F5" w14:textId="77777777" w:rsidR="002B6F21" w:rsidRPr="00B14A84" w:rsidRDefault="002B6F21" w:rsidP="00184700">
            <w:pPr>
              <w:rPr>
                <w:lang w:val="it-IT"/>
              </w:rPr>
            </w:pPr>
          </w:p>
        </w:tc>
        <w:tc>
          <w:tcPr>
            <w:tcW w:w="2869" w:type="dxa"/>
          </w:tcPr>
          <w:p w14:paraId="1344D944" w14:textId="77777777" w:rsidR="002B6F21" w:rsidRDefault="002B6F21" w:rsidP="00184700">
            <w:r>
              <w:t>ITALIA</w:t>
            </w:r>
          </w:p>
          <w:p w14:paraId="534FCB63" w14:textId="77777777" w:rsidR="002B6F21" w:rsidRDefault="002B6F21" w:rsidP="00184700">
            <w:r>
              <w:t>18,4%</w:t>
            </w:r>
          </w:p>
        </w:tc>
        <w:tc>
          <w:tcPr>
            <w:tcW w:w="2869" w:type="dxa"/>
          </w:tcPr>
          <w:p w14:paraId="373A6BF5" w14:textId="77777777" w:rsidR="002B6F21" w:rsidRPr="00B14A84" w:rsidRDefault="002B6F21" w:rsidP="00184700">
            <w:pPr>
              <w:rPr>
                <w:lang w:val="it-IT"/>
              </w:rPr>
            </w:pPr>
            <w:r w:rsidRPr="00B14A84">
              <w:rPr>
                <w:lang w:val="it-IT"/>
              </w:rPr>
              <w:t>ESTERO</w:t>
            </w:r>
          </w:p>
          <w:p w14:paraId="574C6B6C" w14:textId="77777777" w:rsidR="002B6F21" w:rsidRPr="00B14A84" w:rsidRDefault="002B6F21" w:rsidP="00184700">
            <w:pPr>
              <w:rPr>
                <w:lang w:val="it-IT"/>
              </w:rPr>
            </w:pPr>
            <w:r w:rsidRPr="00B14A84">
              <w:rPr>
                <w:lang w:val="it-IT"/>
              </w:rPr>
              <w:t>Malta 25,6%</w:t>
            </w:r>
          </w:p>
          <w:p w14:paraId="29C1EAC6" w14:textId="77777777" w:rsidR="002B6F21" w:rsidRPr="00B14A84" w:rsidRDefault="002B6F21" w:rsidP="00184700">
            <w:pPr>
              <w:rPr>
                <w:lang w:val="it-IT"/>
              </w:rPr>
            </w:pPr>
            <w:r w:rsidRPr="00B14A84">
              <w:rPr>
                <w:lang w:val="it-IT"/>
              </w:rPr>
              <w:t>Finlandia 2,8%</w:t>
            </w:r>
          </w:p>
          <w:p w14:paraId="0F586DEC" w14:textId="77777777" w:rsidR="002B6F21" w:rsidRPr="00B14A84" w:rsidRDefault="002B6F21" w:rsidP="00184700">
            <w:pPr>
              <w:rPr>
                <w:lang w:val="it-IT"/>
              </w:rPr>
            </w:pPr>
            <w:r w:rsidRPr="00B14A84">
              <w:rPr>
                <w:lang w:val="it-IT"/>
              </w:rPr>
              <w:t>Svezia 2,7%</w:t>
            </w:r>
          </w:p>
          <w:p w14:paraId="4E7DAEDB" w14:textId="77777777" w:rsidR="002B6F21" w:rsidRPr="00B14A84" w:rsidRDefault="002B6F21" w:rsidP="00184700">
            <w:pPr>
              <w:rPr>
                <w:lang w:val="it-IT"/>
              </w:rPr>
            </w:pPr>
            <w:r w:rsidRPr="00B14A84">
              <w:rPr>
                <w:lang w:val="it-IT"/>
              </w:rPr>
              <w:t>Francia 6,6%</w:t>
            </w:r>
          </w:p>
          <w:p w14:paraId="46A9E345" w14:textId="77777777" w:rsidR="002B6F21" w:rsidRDefault="002B6F21" w:rsidP="00184700">
            <w:r>
              <w:t>Germania 7,7%</w:t>
            </w:r>
          </w:p>
          <w:p w14:paraId="7E80B47D" w14:textId="77777777" w:rsidR="002B6F21" w:rsidRDefault="002B6F21" w:rsidP="00184700">
            <w:proofErr w:type="spellStart"/>
            <w:r>
              <w:t>Regno</w:t>
            </w:r>
            <w:proofErr w:type="spellEnd"/>
            <w:r>
              <w:t xml:space="preserve"> </w:t>
            </w:r>
            <w:proofErr w:type="spellStart"/>
            <w:r>
              <w:t>Unito</w:t>
            </w:r>
            <w:proofErr w:type="spellEnd"/>
            <w:r>
              <w:t xml:space="preserve"> 9,6%</w:t>
            </w:r>
          </w:p>
          <w:p w14:paraId="2A992B3A" w14:textId="77777777" w:rsidR="002B6F21" w:rsidRDefault="002B6F21" w:rsidP="00184700"/>
          <w:p w14:paraId="511C27D0" w14:textId="77777777" w:rsidR="002B6F21" w:rsidRDefault="002B6F21" w:rsidP="00184700"/>
          <w:p w14:paraId="403024F0" w14:textId="77777777" w:rsidR="002B6F21" w:rsidRDefault="002B6F21" w:rsidP="00184700"/>
        </w:tc>
      </w:tr>
      <w:tr w:rsidR="002B6F21" w14:paraId="4A184AFC" w14:textId="77777777" w:rsidTr="00184700">
        <w:tc>
          <w:tcPr>
            <w:tcW w:w="3278" w:type="dxa"/>
          </w:tcPr>
          <w:p w14:paraId="072A4F7A" w14:textId="77777777" w:rsidR="002B6F21" w:rsidRPr="00B14A84" w:rsidRDefault="002B6F21" w:rsidP="00184700">
            <w:pPr>
              <w:rPr>
                <w:lang w:val="it-IT"/>
              </w:rPr>
            </w:pPr>
          </w:p>
          <w:p w14:paraId="7D37B696" w14:textId="77777777" w:rsidR="002B6F21" w:rsidRPr="00B14A84" w:rsidRDefault="002B6F21" w:rsidP="00184700">
            <w:pPr>
              <w:rPr>
                <w:lang w:val="it-IT"/>
              </w:rPr>
            </w:pPr>
            <w:r w:rsidRPr="00B14A84">
              <w:rPr>
                <w:lang w:val="it-IT"/>
              </w:rPr>
              <w:t>Tasso di occupazione femminile nel Mezzogiorno</w:t>
            </w:r>
          </w:p>
          <w:p w14:paraId="5D648C54" w14:textId="77777777" w:rsidR="002B6F21" w:rsidRPr="00B14A84" w:rsidRDefault="002B6F21" w:rsidP="00184700">
            <w:pPr>
              <w:rPr>
                <w:lang w:val="it-IT"/>
              </w:rPr>
            </w:pPr>
          </w:p>
        </w:tc>
        <w:tc>
          <w:tcPr>
            <w:tcW w:w="2869" w:type="dxa"/>
          </w:tcPr>
          <w:p w14:paraId="75686BD2" w14:textId="77777777" w:rsidR="002B6F21" w:rsidRPr="00B14A84" w:rsidRDefault="002B6F21" w:rsidP="00184700">
            <w:pPr>
              <w:rPr>
                <w:lang w:val="it-IT"/>
              </w:rPr>
            </w:pPr>
            <w:r w:rsidRPr="00B14A84">
              <w:rPr>
                <w:lang w:val="it-IT"/>
              </w:rPr>
              <w:t>CITTÀ DEL SUD</w:t>
            </w:r>
          </w:p>
          <w:p w14:paraId="41FD5A6A" w14:textId="77777777" w:rsidR="002B6F21" w:rsidRPr="00B14A84" w:rsidRDefault="002B6F21" w:rsidP="00184700">
            <w:pPr>
              <w:rPr>
                <w:lang w:val="it-IT"/>
              </w:rPr>
            </w:pPr>
            <w:r w:rsidRPr="00B14A84">
              <w:rPr>
                <w:lang w:val="it-IT"/>
              </w:rPr>
              <w:t>In media 31,7%</w:t>
            </w:r>
          </w:p>
          <w:p w14:paraId="2F82698E" w14:textId="77777777" w:rsidR="002B6F21" w:rsidRDefault="002B6F21" w:rsidP="00184700">
            <w:r>
              <w:t>Caltanissetta 22,5%</w:t>
            </w:r>
          </w:p>
          <w:p w14:paraId="39182648" w14:textId="77777777" w:rsidR="002B6F21" w:rsidRDefault="002B6F21" w:rsidP="00184700">
            <w:r>
              <w:t>Caserta 24,1%</w:t>
            </w:r>
          </w:p>
          <w:p w14:paraId="6E816CBF" w14:textId="77777777" w:rsidR="002B6F21" w:rsidRDefault="002B6F21" w:rsidP="00184700">
            <w:r>
              <w:t>Agrigento 24,4%</w:t>
            </w:r>
          </w:p>
          <w:p w14:paraId="7635DE5C" w14:textId="77777777" w:rsidR="002B6F21" w:rsidRDefault="002B6F21" w:rsidP="00184700">
            <w:r>
              <w:t>Napoli 24,9%</w:t>
            </w:r>
          </w:p>
        </w:tc>
        <w:tc>
          <w:tcPr>
            <w:tcW w:w="2869" w:type="dxa"/>
          </w:tcPr>
          <w:p w14:paraId="0BA05CBF" w14:textId="77777777" w:rsidR="002B6F21" w:rsidRPr="00B14A84" w:rsidRDefault="002B6F21" w:rsidP="00184700">
            <w:pPr>
              <w:rPr>
                <w:lang w:val="it-IT"/>
              </w:rPr>
            </w:pPr>
            <w:r w:rsidRPr="00B14A84">
              <w:rPr>
                <w:lang w:val="it-IT"/>
              </w:rPr>
              <w:t>CITTÀ DEL NORD</w:t>
            </w:r>
          </w:p>
          <w:p w14:paraId="2212BF77" w14:textId="77777777" w:rsidR="002B6F21" w:rsidRPr="00B14A84" w:rsidRDefault="002B6F21" w:rsidP="00184700">
            <w:pPr>
              <w:rPr>
                <w:lang w:val="it-IT"/>
              </w:rPr>
            </w:pPr>
            <w:r w:rsidRPr="00B14A84">
              <w:rPr>
                <w:lang w:val="it-IT"/>
              </w:rPr>
              <w:t>Bolzano 64,3%</w:t>
            </w:r>
          </w:p>
          <w:p w14:paraId="4447F4EC" w14:textId="77777777" w:rsidR="002B6F21" w:rsidRPr="00B14A84" w:rsidRDefault="002B6F21" w:rsidP="00184700">
            <w:pPr>
              <w:rPr>
                <w:lang w:val="it-IT"/>
              </w:rPr>
            </w:pPr>
            <w:r w:rsidRPr="00B14A84">
              <w:rPr>
                <w:lang w:val="it-IT"/>
              </w:rPr>
              <w:t>Bologna 63,5%</w:t>
            </w:r>
          </w:p>
          <w:p w14:paraId="178BE085" w14:textId="77777777" w:rsidR="002B6F21" w:rsidRDefault="002B6F21" w:rsidP="00184700">
            <w:r>
              <w:t>Firenze 62,5%</w:t>
            </w:r>
          </w:p>
          <w:p w14:paraId="6C311F89" w14:textId="77777777" w:rsidR="002B6F21" w:rsidRDefault="002B6F21" w:rsidP="00184700">
            <w:proofErr w:type="spellStart"/>
            <w:r>
              <w:t>Belluno</w:t>
            </w:r>
            <w:proofErr w:type="spellEnd"/>
            <w:r>
              <w:t xml:space="preserve"> 62%</w:t>
            </w:r>
          </w:p>
          <w:p w14:paraId="3393C714" w14:textId="77777777" w:rsidR="002B6F21" w:rsidRDefault="002B6F21" w:rsidP="00184700">
            <w:r>
              <w:t>Pisa 61,7%</w:t>
            </w:r>
          </w:p>
          <w:p w14:paraId="47490AEE" w14:textId="77777777" w:rsidR="002B6F21" w:rsidRDefault="002B6F21" w:rsidP="00184700"/>
          <w:p w14:paraId="58351CEF" w14:textId="77777777" w:rsidR="002B6F21" w:rsidRDefault="002B6F21" w:rsidP="00184700"/>
          <w:p w14:paraId="08A3D9D0" w14:textId="77777777" w:rsidR="002B6F21" w:rsidRDefault="002B6F21" w:rsidP="00184700"/>
          <w:p w14:paraId="10E7C400" w14:textId="77777777" w:rsidR="002B6F21" w:rsidRDefault="002B6F21" w:rsidP="00184700"/>
          <w:p w14:paraId="2656F9C3" w14:textId="77777777" w:rsidR="002B6F21" w:rsidRDefault="002B6F21" w:rsidP="00184700"/>
          <w:p w14:paraId="71B8656F" w14:textId="77777777" w:rsidR="002B6F21" w:rsidRDefault="002B6F21" w:rsidP="00184700"/>
        </w:tc>
      </w:tr>
      <w:tr w:rsidR="002B6F21" w14:paraId="53D8390D" w14:textId="77777777" w:rsidTr="00184700">
        <w:tc>
          <w:tcPr>
            <w:tcW w:w="3278" w:type="dxa"/>
          </w:tcPr>
          <w:p w14:paraId="21018289" w14:textId="77777777" w:rsidR="002B6F21" w:rsidRDefault="002B6F21" w:rsidP="00184700">
            <w:proofErr w:type="spellStart"/>
            <w:r>
              <w:t>Percentuale</w:t>
            </w:r>
            <w:proofErr w:type="spellEnd"/>
            <w:r>
              <w:t xml:space="preserve"> di </w:t>
            </w:r>
            <w:proofErr w:type="spellStart"/>
            <w:r>
              <w:t>donne</w:t>
            </w:r>
            <w:proofErr w:type="spellEnd"/>
            <w:r>
              <w:t xml:space="preserve"> laureate</w:t>
            </w:r>
          </w:p>
        </w:tc>
        <w:tc>
          <w:tcPr>
            <w:tcW w:w="2869" w:type="dxa"/>
          </w:tcPr>
          <w:p w14:paraId="51F98534" w14:textId="77777777" w:rsidR="002B6F21" w:rsidRDefault="002B6F21" w:rsidP="00184700">
            <w:r>
              <w:t xml:space="preserve">55,6% </w:t>
            </w:r>
            <w:proofErr w:type="spellStart"/>
            <w:r>
              <w:t>nel</w:t>
            </w:r>
            <w:proofErr w:type="spellEnd"/>
            <w:r>
              <w:t xml:space="preserve"> 2016</w:t>
            </w:r>
          </w:p>
        </w:tc>
        <w:tc>
          <w:tcPr>
            <w:tcW w:w="2869" w:type="dxa"/>
          </w:tcPr>
          <w:p w14:paraId="6C780802" w14:textId="77777777" w:rsidR="002B6F21" w:rsidRDefault="002B6F21" w:rsidP="00184700"/>
        </w:tc>
      </w:tr>
    </w:tbl>
    <w:p w14:paraId="2911792C" w14:textId="77777777" w:rsidR="002B6F21" w:rsidRDefault="002B6F21" w:rsidP="002B6F21"/>
    <w:p w14:paraId="1E625179" w14:textId="77777777" w:rsidR="002B6F21" w:rsidRDefault="002B6F21" w:rsidP="002B6F21"/>
    <w:p w14:paraId="3CDC432F" w14:textId="77777777" w:rsidR="002B6F21" w:rsidRDefault="002B6F21" w:rsidP="002B6F21"/>
    <w:p w14:paraId="690A2CB3" w14:textId="77777777" w:rsidR="002B6F21" w:rsidRDefault="002B6F21" w:rsidP="002B6F21"/>
    <w:p w14:paraId="4661CBEF" w14:textId="77777777" w:rsidR="002B6F21" w:rsidRDefault="002B6F21"/>
    <w:p w14:paraId="30D961CC" w14:textId="77777777" w:rsidR="002B6F21" w:rsidRDefault="002B6F21"/>
    <w:sectPr w:rsidR="002B6F21" w:rsidSect="002A2E5E">
      <w:footerReference w:type="first" r:id="rId7"/>
      <w:pgSz w:w="11906" w:h="16838"/>
      <w:pgMar w:top="720" w:right="720" w:bottom="1108" w:left="72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F26F91" w14:textId="77777777" w:rsidR="0036396F" w:rsidRDefault="0036396F" w:rsidP="005800ED">
      <w:pPr>
        <w:spacing w:after="0" w:line="240" w:lineRule="auto"/>
      </w:pPr>
      <w:r>
        <w:separator/>
      </w:r>
    </w:p>
  </w:endnote>
  <w:endnote w:type="continuationSeparator" w:id="0">
    <w:p w14:paraId="02DD2EB8" w14:textId="77777777" w:rsidR="0036396F" w:rsidRDefault="0036396F" w:rsidP="00580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65DE9" w14:textId="77777777" w:rsidR="002A2E5E" w:rsidRPr="002A2E5E" w:rsidRDefault="002A2E5E">
    <w:pPr>
      <w:pStyle w:val="Footer"/>
      <w:rPr>
        <w:lang w:val="it-IT"/>
      </w:rPr>
    </w:pPr>
    <w:proofErr w:type="spellStart"/>
    <w:r w:rsidRPr="002A2E5E">
      <w:rPr>
        <w:lang w:val="it-IT"/>
      </w:rPr>
      <w:t>Testo</w:t>
    </w:r>
    <w:proofErr w:type="spellEnd"/>
    <w:r w:rsidRPr="002A2E5E">
      <w:rPr>
        <w:lang w:val="it-IT"/>
      </w:rPr>
      <w:t xml:space="preserve"> da: </w:t>
    </w:r>
    <w:hyperlink r:id="rId1" w:history="1">
      <w:r w:rsidRPr="008315F7">
        <w:rPr>
          <w:rStyle w:val="Hyperlink"/>
          <w:lang w:val="it-IT"/>
        </w:rPr>
        <w:t>http://www.lapresse.it/8-marzo-donne-sempre-piu-penalizzate-divise-tra-lavoro-e-famiglia.html</w:t>
      </w:r>
    </w:hyperlink>
    <w:r>
      <w:rPr>
        <w:lang w:val="it-IT"/>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8554A" w14:textId="77777777" w:rsidR="0036396F" w:rsidRDefault="0036396F" w:rsidP="005800ED">
      <w:pPr>
        <w:spacing w:after="0" w:line="240" w:lineRule="auto"/>
      </w:pPr>
      <w:r>
        <w:separator/>
      </w:r>
    </w:p>
  </w:footnote>
  <w:footnote w:type="continuationSeparator" w:id="0">
    <w:p w14:paraId="4E77E8C3" w14:textId="77777777" w:rsidR="0036396F" w:rsidRDefault="0036396F" w:rsidP="005800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B89"/>
    <w:rsid w:val="00266C3D"/>
    <w:rsid w:val="002A2E5E"/>
    <w:rsid w:val="002B6F21"/>
    <w:rsid w:val="0036396F"/>
    <w:rsid w:val="003702A6"/>
    <w:rsid w:val="005800ED"/>
    <w:rsid w:val="00664B25"/>
    <w:rsid w:val="008A04BD"/>
    <w:rsid w:val="00A93B89"/>
    <w:rsid w:val="00B14A84"/>
    <w:rsid w:val="00ED0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8B92B"/>
  <w15:chartTrackingRefBased/>
  <w15:docId w15:val="{2D6E0F2E-43B3-4B5C-96F6-3D69B3F1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02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2A6"/>
    <w:rPr>
      <w:rFonts w:ascii="Segoe UI" w:hAnsi="Segoe UI" w:cs="Segoe UI"/>
      <w:sz w:val="18"/>
      <w:szCs w:val="18"/>
    </w:rPr>
  </w:style>
  <w:style w:type="paragraph" w:styleId="Header">
    <w:name w:val="header"/>
    <w:basedOn w:val="Normal"/>
    <w:link w:val="HeaderChar"/>
    <w:uiPriority w:val="99"/>
    <w:unhideWhenUsed/>
    <w:rsid w:val="005800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0ED"/>
  </w:style>
  <w:style w:type="paragraph" w:styleId="Footer">
    <w:name w:val="footer"/>
    <w:basedOn w:val="Normal"/>
    <w:link w:val="FooterChar"/>
    <w:uiPriority w:val="99"/>
    <w:unhideWhenUsed/>
    <w:rsid w:val="005800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0ED"/>
  </w:style>
  <w:style w:type="table" w:styleId="TableGrid">
    <w:name w:val="Table Grid"/>
    <w:basedOn w:val="TableNormal"/>
    <w:uiPriority w:val="39"/>
    <w:rsid w:val="002B6F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A2E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196141">
      <w:bodyDiv w:val="1"/>
      <w:marLeft w:val="0"/>
      <w:marRight w:val="0"/>
      <w:marTop w:val="0"/>
      <w:marBottom w:val="0"/>
      <w:divBdr>
        <w:top w:val="none" w:sz="0" w:space="0" w:color="auto"/>
        <w:left w:val="none" w:sz="0" w:space="0" w:color="auto"/>
        <w:bottom w:val="none" w:sz="0" w:space="0" w:color="auto"/>
        <w:right w:val="none" w:sz="0" w:space="0" w:color="auto"/>
      </w:divBdr>
      <w:divsChild>
        <w:div w:id="832841564">
          <w:marLeft w:val="0"/>
          <w:marRight w:val="0"/>
          <w:marTop w:val="0"/>
          <w:marBottom w:val="0"/>
          <w:divBdr>
            <w:top w:val="none" w:sz="0" w:space="0" w:color="auto"/>
            <w:left w:val="none" w:sz="0" w:space="0" w:color="auto"/>
            <w:bottom w:val="none" w:sz="0" w:space="0" w:color="auto"/>
            <w:right w:val="none" w:sz="0" w:space="0" w:color="auto"/>
          </w:divBdr>
          <w:divsChild>
            <w:div w:id="244875061">
              <w:marLeft w:val="0"/>
              <w:marRight w:val="0"/>
              <w:marTop w:val="0"/>
              <w:marBottom w:val="0"/>
              <w:divBdr>
                <w:top w:val="none" w:sz="0" w:space="0" w:color="auto"/>
                <w:left w:val="none" w:sz="0" w:space="0" w:color="auto"/>
                <w:bottom w:val="none" w:sz="0" w:space="0" w:color="auto"/>
                <w:right w:val="none" w:sz="0" w:space="0" w:color="auto"/>
              </w:divBdr>
              <w:divsChild>
                <w:div w:id="48215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761239">
          <w:marLeft w:val="0"/>
          <w:marRight w:val="0"/>
          <w:marTop w:val="0"/>
          <w:marBottom w:val="0"/>
          <w:divBdr>
            <w:top w:val="none" w:sz="0" w:space="0" w:color="auto"/>
            <w:left w:val="none" w:sz="0" w:space="0" w:color="auto"/>
            <w:bottom w:val="none" w:sz="0" w:space="0" w:color="auto"/>
            <w:right w:val="none" w:sz="0" w:space="0" w:color="auto"/>
          </w:divBdr>
          <w:divsChild>
            <w:div w:id="203296840">
              <w:marLeft w:val="0"/>
              <w:marRight w:val="0"/>
              <w:marTop w:val="0"/>
              <w:marBottom w:val="0"/>
              <w:divBdr>
                <w:top w:val="none" w:sz="0" w:space="0" w:color="auto"/>
                <w:left w:val="none" w:sz="0" w:space="0" w:color="auto"/>
                <w:bottom w:val="none" w:sz="0" w:space="0" w:color="auto"/>
                <w:right w:val="none" w:sz="0" w:space="0" w:color="auto"/>
              </w:divBdr>
              <w:divsChild>
                <w:div w:id="34054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3860">
          <w:marLeft w:val="0"/>
          <w:marRight w:val="0"/>
          <w:marTop w:val="0"/>
          <w:marBottom w:val="0"/>
          <w:divBdr>
            <w:top w:val="none" w:sz="0" w:space="0" w:color="auto"/>
            <w:left w:val="none" w:sz="0" w:space="0" w:color="auto"/>
            <w:bottom w:val="none" w:sz="0" w:space="0" w:color="auto"/>
            <w:right w:val="none" w:sz="0" w:space="0" w:color="auto"/>
          </w:divBdr>
          <w:divsChild>
            <w:div w:id="2041473693">
              <w:marLeft w:val="0"/>
              <w:marRight w:val="0"/>
              <w:marTop w:val="0"/>
              <w:marBottom w:val="0"/>
              <w:divBdr>
                <w:top w:val="none" w:sz="0" w:space="0" w:color="auto"/>
                <w:left w:val="none" w:sz="0" w:space="0" w:color="auto"/>
                <w:bottom w:val="none" w:sz="0" w:space="0" w:color="auto"/>
                <w:right w:val="none" w:sz="0" w:space="0" w:color="auto"/>
              </w:divBdr>
              <w:divsChild>
                <w:div w:id="1761561388">
                  <w:marLeft w:val="0"/>
                  <w:marRight w:val="0"/>
                  <w:marTop w:val="0"/>
                  <w:marBottom w:val="0"/>
                  <w:divBdr>
                    <w:top w:val="none" w:sz="0" w:space="0" w:color="auto"/>
                    <w:left w:val="none" w:sz="0" w:space="0" w:color="auto"/>
                    <w:bottom w:val="none" w:sz="0" w:space="0" w:color="auto"/>
                    <w:right w:val="none" w:sz="0" w:space="0" w:color="auto"/>
                  </w:divBdr>
                  <w:divsChild>
                    <w:div w:id="1265504356">
                      <w:marLeft w:val="0"/>
                      <w:marRight w:val="0"/>
                      <w:marTop w:val="0"/>
                      <w:marBottom w:val="0"/>
                      <w:divBdr>
                        <w:top w:val="none" w:sz="0" w:space="0" w:color="auto"/>
                        <w:left w:val="none" w:sz="0" w:space="0" w:color="auto"/>
                        <w:bottom w:val="none" w:sz="0" w:space="0" w:color="auto"/>
                        <w:right w:val="none" w:sz="0" w:space="0" w:color="auto"/>
                      </w:divBdr>
                      <w:divsChild>
                        <w:div w:id="1778939504">
                          <w:marLeft w:val="0"/>
                          <w:marRight w:val="0"/>
                          <w:marTop w:val="0"/>
                          <w:marBottom w:val="0"/>
                          <w:divBdr>
                            <w:top w:val="none" w:sz="0" w:space="0" w:color="auto"/>
                            <w:left w:val="none" w:sz="0" w:space="0" w:color="auto"/>
                            <w:bottom w:val="none" w:sz="0" w:space="0" w:color="auto"/>
                            <w:right w:val="none" w:sz="0" w:space="0" w:color="auto"/>
                          </w:divBdr>
                          <w:divsChild>
                            <w:div w:id="1837377692">
                              <w:marLeft w:val="0"/>
                              <w:marRight w:val="0"/>
                              <w:marTop w:val="0"/>
                              <w:marBottom w:val="0"/>
                              <w:divBdr>
                                <w:top w:val="none" w:sz="0" w:space="0" w:color="auto"/>
                                <w:left w:val="none" w:sz="0" w:space="0" w:color="auto"/>
                                <w:bottom w:val="none" w:sz="0" w:space="0" w:color="auto"/>
                                <w:right w:val="none" w:sz="0" w:space="0" w:color="auto"/>
                              </w:divBdr>
                              <w:divsChild>
                                <w:div w:id="1929271505">
                                  <w:marLeft w:val="0"/>
                                  <w:marRight w:val="0"/>
                                  <w:marTop w:val="0"/>
                                  <w:marBottom w:val="0"/>
                                  <w:divBdr>
                                    <w:top w:val="none" w:sz="0" w:space="0" w:color="auto"/>
                                    <w:left w:val="none" w:sz="0" w:space="0" w:color="auto"/>
                                    <w:bottom w:val="none" w:sz="0" w:space="0" w:color="auto"/>
                                    <w:right w:val="none" w:sz="0" w:space="0" w:color="auto"/>
                                  </w:divBdr>
                                  <w:divsChild>
                                    <w:div w:id="2118451300">
                                      <w:marLeft w:val="0"/>
                                      <w:marRight w:val="0"/>
                                      <w:marTop w:val="0"/>
                                      <w:marBottom w:val="0"/>
                                      <w:divBdr>
                                        <w:top w:val="none" w:sz="0" w:space="0" w:color="auto"/>
                                        <w:left w:val="none" w:sz="0" w:space="0" w:color="auto"/>
                                        <w:bottom w:val="none" w:sz="0" w:space="0" w:color="auto"/>
                                        <w:right w:val="none" w:sz="0" w:space="0" w:color="auto"/>
                                      </w:divBdr>
                                      <w:divsChild>
                                        <w:div w:id="272633733">
                                          <w:marLeft w:val="0"/>
                                          <w:marRight w:val="0"/>
                                          <w:marTop w:val="0"/>
                                          <w:marBottom w:val="0"/>
                                          <w:divBdr>
                                            <w:top w:val="none" w:sz="0" w:space="0" w:color="auto"/>
                                            <w:left w:val="none" w:sz="0" w:space="0" w:color="auto"/>
                                            <w:bottom w:val="none" w:sz="0" w:space="0" w:color="auto"/>
                                            <w:right w:val="none" w:sz="0" w:space="0" w:color="auto"/>
                                          </w:divBdr>
                                          <w:divsChild>
                                            <w:div w:id="2103912421">
                                              <w:marLeft w:val="0"/>
                                              <w:marRight w:val="0"/>
                                              <w:marTop w:val="0"/>
                                              <w:marBottom w:val="300"/>
                                              <w:divBdr>
                                                <w:top w:val="none" w:sz="0" w:space="0" w:color="auto"/>
                                                <w:left w:val="none" w:sz="0" w:space="0" w:color="auto"/>
                                                <w:bottom w:val="none" w:sz="0" w:space="0" w:color="auto"/>
                                                <w:right w:val="none" w:sz="0" w:space="0" w:color="auto"/>
                                              </w:divBdr>
                                              <w:divsChild>
                                                <w:div w:id="1175849581">
                                                  <w:marLeft w:val="0"/>
                                                  <w:marRight w:val="0"/>
                                                  <w:marTop w:val="0"/>
                                                  <w:marBottom w:val="0"/>
                                                  <w:divBdr>
                                                    <w:top w:val="none" w:sz="0" w:space="0" w:color="auto"/>
                                                    <w:left w:val="none" w:sz="0" w:space="0" w:color="auto"/>
                                                    <w:bottom w:val="none" w:sz="0" w:space="0" w:color="auto"/>
                                                    <w:right w:val="none" w:sz="0" w:space="0" w:color="auto"/>
                                                  </w:divBdr>
                                                  <w:divsChild>
                                                    <w:div w:id="59829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lapresse.it/8-marzo-donne-sempre-piu-penalizzate-divise-tra-lavoro-e-famigli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1472</Words>
  <Characters>8394</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SCHS</Company>
  <LinksUpToDate>false</LinksUpToDate>
  <CharactersWithSpaces>9847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Durello, Mariarosa (SCHS)</dc:creator>
  <cp:keywords/>
  <dc:description/>
  <cp:lastModifiedBy>Microsoft Office User</cp:lastModifiedBy>
  <cp:revision>8</cp:revision>
  <cp:lastPrinted>2017-10-20T08:29:00Z</cp:lastPrinted>
  <dcterms:created xsi:type="dcterms:W3CDTF">2017-10-20T08:28:00Z</dcterms:created>
  <dcterms:modified xsi:type="dcterms:W3CDTF">2017-11-22T08:33:00Z</dcterms:modified>
</cp:coreProperties>
</file>